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BA87" w14:textId="4192597A" w:rsidR="00917921" w:rsidRPr="00865D41" w:rsidRDefault="003D4D19" w:rsidP="00AD1D32">
      <w:pPr>
        <w:tabs>
          <w:tab w:val="right" w:pos="10204"/>
        </w:tabs>
        <w:spacing w:before="0"/>
      </w:pPr>
      <w:r w:rsidRPr="00865D41">
        <w:rPr>
          <w:noProof/>
          <w:lang w:eastAsia="pl-PL"/>
        </w:rPr>
        <w:drawing>
          <wp:inline distT="0" distB="0" distL="0" distR="0" wp14:anchorId="4786152E" wp14:editId="739C0CB6">
            <wp:extent cx="1184910" cy="658495"/>
            <wp:effectExtent l="0" t="0" r="0" b="8255"/>
            <wp:docPr id="7" name="Obraz 7" descr="Kontur województwa dolnośląskiego wypełniony sześciokątami imitujacymi plaster miodu w 4 kolorach: zielonym, czerwonym, żółtym i czarnym. Czarne sześciokąty odpowiadaja swoim umiejscowieniem największym miastom województwa (Wrocław, Wałbrzych, Legnica i Jelenia Góra), w których swoje placówki ma WUP we Wrocławiu. Obok konturu województwa napis w 3 Wojewódzki Urząd Pracy we Wrocławiu." title="Logotyp Wojewódzkkiego Urzędu Pracy we Wrocław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up podstawowe poziome pole ochron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4910" cy="658495"/>
                    </a:xfrm>
                    <a:prstGeom prst="rect">
                      <a:avLst/>
                    </a:prstGeom>
                    <a:noFill/>
                    <a:ln>
                      <a:noFill/>
                    </a:ln>
                  </pic:spPr>
                </pic:pic>
              </a:graphicData>
            </a:graphic>
          </wp:inline>
        </w:drawing>
      </w:r>
      <w:r w:rsidR="00BA5ABE" w:rsidRPr="00865D41">
        <w:tab/>
      </w:r>
      <w:r w:rsidR="00BA5ABE" w:rsidRPr="00865D41">
        <w:rPr>
          <w:noProof/>
          <w:lang w:eastAsia="pl-PL"/>
        </w:rPr>
        <w:drawing>
          <wp:inline distT="0" distB="0" distL="0" distR="0" wp14:anchorId="4C844B39" wp14:editId="1F95D45E">
            <wp:extent cx="1401288" cy="550387"/>
            <wp:effectExtent l="0" t="0" r="0" b="2540"/>
            <wp:docPr id="2" name="Obraz 2" descr="Herb Województwa Dolnośląskiego, na żółtym tle  czarny orzeł z księżycem i krzyżem na piersi, obok tekst Dolny Śląsk " title="Logotyp Województwa Dolno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typ Województwa Dolnośląskiego - Obraz dekoracyjny" title="Logotyp Województwa Dolnośląskieg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5736" cy="559989"/>
                    </a:xfrm>
                    <a:prstGeom prst="rect">
                      <a:avLst/>
                    </a:prstGeom>
                  </pic:spPr>
                </pic:pic>
              </a:graphicData>
            </a:graphic>
          </wp:inline>
        </w:drawing>
      </w:r>
    </w:p>
    <w:p w14:paraId="0850A52A" w14:textId="72D87D5A" w:rsidR="004769A7" w:rsidRPr="00B03838" w:rsidRDefault="004060F6" w:rsidP="00865D41">
      <w:pPr>
        <w:pStyle w:val="Tytu"/>
        <w:rPr>
          <w:lang w:val="pl-PL"/>
        </w:rPr>
      </w:pPr>
      <w:r w:rsidRPr="00865D41">
        <w:t>Informacja o sytuacji na rynku pracy w województ</w:t>
      </w:r>
      <w:r w:rsidR="008073F9" w:rsidRPr="00865D41">
        <w:t>wie dolnośląskim w</w:t>
      </w:r>
      <w:r w:rsidR="000C7AEA" w:rsidRPr="00865D41">
        <w:rPr>
          <w:lang w:val="pl-PL"/>
        </w:rPr>
        <w:t> </w:t>
      </w:r>
      <w:r w:rsidR="00B806B6">
        <w:rPr>
          <w:lang w:val="pl-PL"/>
        </w:rPr>
        <w:t>luty</w:t>
      </w:r>
      <w:r w:rsidR="00A1298C">
        <w:rPr>
          <w:lang w:val="pl-PL"/>
        </w:rPr>
        <w:t>m</w:t>
      </w:r>
      <w:r w:rsidR="008073F9" w:rsidRPr="00865D41">
        <w:t xml:space="preserve"> </w:t>
      </w:r>
      <w:r w:rsidR="00852130" w:rsidRPr="00865D41">
        <w:t>202</w:t>
      </w:r>
      <w:r w:rsidR="00C27371">
        <w:t>6</w:t>
      </w:r>
      <w:r w:rsidRPr="00865D41">
        <w:t xml:space="preserve"> r</w:t>
      </w:r>
      <w:r w:rsidR="005770D3" w:rsidRPr="00865D41">
        <w:t>oku</w:t>
      </w:r>
      <w:r w:rsidRPr="00865D41">
        <w:t>.</w:t>
      </w:r>
    </w:p>
    <w:p w14:paraId="5A8BD959" w14:textId="77777777" w:rsidR="00357007" w:rsidRPr="00865D41" w:rsidRDefault="00357007" w:rsidP="00A006AF">
      <w:pPr>
        <w:pStyle w:val="Nagwek1"/>
      </w:pPr>
      <w:r w:rsidRPr="00865D41">
        <w:t>Liczba osób bezrobotnych</w:t>
      </w:r>
    </w:p>
    <w:p w14:paraId="6B5704C5" w14:textId="1531DD91" w:rsidR="008E45B3" w:rsidRPr="008E45B3" w:rsidRDefault="008E45B3" w:rsidP="008E45B3">
      <w:r w:rsidRPr="008E45B3">
        <w:t xml:space="preserve">Na koniec lutego 2026 r. w rejestrach powiatowych urzędów pracy województwa dolnośląskiego figurowało 69 166 osób bezrobotnych. W porównaniu z końcem stycznia 2026 r. liczba ta wzrosła o 2 051 osób, co odpowiada </w:t>
      </w:r>
      <w:r w:rsidR="00A474D5" w:rsidRPr="008E45B3">
        <w:t>w ujęciu miesięcznym</w:t>
      </w:r>
      <w:r w:rsidR="00A474D5" w:rsidRPr="008E45B3">
        <w:t xml:space="preserve"> </w:t>
      </w:r>
      <w:r w:rsidRPr="008E45B3">
        <w:t xml:space="preserve">wzrostowi o 3,1%. Jednocześnie w relacji do lutego 2025 r. liczba zarejestrowanych bezrobotnych była wyższa o około 15,3%, co wskazuje </w:t>
      </w:r>
      <w:r w:rsidR="00A474D5" w:rsidRPr="008E45B3">
        <w:t>w ujęciu rocznym</w:t>
      </w:r>
      <w:r w:rsidR="00A474D5" w:rsidRPr="008E45B3">
        <w:t xml:space="preserve"> </w:t>
      </w:r>
      <w:r w:rsidRPr="008E45B3">
        <w:t>na wyraźne pogorszenie sytuacji na regionalnym rynku pracy.</w:t>
      </w:r>
      <w:r w:rsidR="00A474D5">
        <w:t xml:space="preserve"> </w:t>
      </w:r>
      <w:r w:rsidRPr="008E45B3">
        <w:t xml:space="preserve">Kobiety stanowiły 49,4% ogółu bezrobotnych, a ich udział zwiększył się o 0,1 punktu procentowego w porównaniu z końcem stycznia 2026 r. </w:t>
      </w:r>
    </w:p>
    <w:p w14:paraId="50174B93" w14:textId="1E77ED7D" w:rsidR="008E45B3" w:rsidRDefault="008E45B3" w:rsidP="008E45B3">
      <w:pPr>
        <w:rPr>
          <w:rStyle w:val="WykrespodpisZnak"/>
        </w:rPr>
      </w:pPr>
      <w:r w:rsidRPr="008E45B3">
        <w:t>Tendencje obserwowane w województwie dolnośląskim pozostawały spójne z sytuacją w skali kraju, gdzie na koniec lutego 2026 r. liczba bezrobotnych wzrosła do około 955 tys. W większości województw, w tym na Dolnym Śląsku, odnotowano dalszy wzrost bezrobocia, co potwierdza utrzymywanie się sezonowego maksimum charakterystycznego dla pierwszych miesięcy roku</w:t>
      </w:r>
    </w:p>
    <w:p w14:paraId="11D41867" w14:textId="34036186" w:rsidR="00B806B6" w:rsidRPr="008E45B3" w:rsidRDefault="00B806B6" w:rsidP="008E45B3">
      <w:pPr>
        <w:pStyle w:val="Legenda"/>
      </w:pPr>
      <w:r w:rsidRPr="008E45B3">
        <w:t xml:space="preserve">Wykres </w:t>
      </w:r>
      <w:r w:rsidRPr="008E45B3">
        <w:fldChar w:fldCharType="begin"/>
      </w:r>
      <w:r w:rsidRPr="008E45B3">
        <w:instrText xml:space="preserve"> SEQ Wykres \* ARABIC </w:instrText>
      </w:r>
      <w:r w:rsidRPr="008E45B3">
        <w:fldChar w:fldCharType="separate"/>
      </w:r>
      <w:r w:rsidR="00440F8F">
        <w:rPr>
          <w:noProof/>
        </w:rPr>
        <w:t>1</w:t>
      </w:r>
      <w:r w:rsidRPr="008E45B3">
        <w:fldChar w:fldCharType="end"/>
      </w:r>
      <w:r w:rsidRPr="008E45B3">
        <w:t xml:space="preserve"> Bezrobotni na przestrzeni lat 2016 - 2026 według stanu na dzień 28-29 lutego</w:t>
      </w:r>
    </w:p>
    <w:p w14:paraId="53F162EA" w14:textId="77777777" w:rsidR="001F0CAA" w:rsidRPr="00865D41" w:rsidRDefault="00B806B6" w:rsidP="00A006AF">
      <w:r>
        <w:rPr>
          <w:noProof/>
        </w:rPr>
        <w:drawing>
          <wp:inline distT="0" distB="0" distL="0" distR="0" wp14:anchorId="1B4E38E2" wp14:editId="4DF8C384">
            <wp:extent cx="5220000" cy="2840925"/>
            <wp:effectExtent l="0" t="0" r="0" b="0"/>
            <wp:docPr id="3" name="Obraz 3" descr="Wykres 1.Bezrobotni na przestrzeni lat 2016 - 2026 według stanu na dzień 28-29 lutego&#10;Liczba bezrobotnych ogółem w latach wyrażona w tysiącach osób:&#10;2016 rok 106,4&#10;2017 rok  89,5&#10;2018 rok 72,3&#10;2019 rok 66,5&#10;2020 rok 59,9&#10;2021 rok 72,7&#10;2022 rok 60,1&#10;2023 rok 57,5&#10;2024 rok 58,0&#10;2025 rok 60,0&#10;2026 rok 69,2&#10;Liczba bezrobotnych kobiet ogółem w latach wyrażona w tysiącach osób:&#10;2016 rok 53,7&#10;2017 rok 46,4&#10;2018 rok 38,5&#10;2019 rok 36,2&#10;2020 rok 32,2&#10;2021 rok 38,5&#10;2022 rok 31,6&#10;2023 rok 30,2&#10;2024 rok 29,7&#10;2025 rok 30,3&#10;2026 ro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Wykres 1.Bezrobotni na przestrzeni lat 2016 - 2026 według stanu na dzień 28-29 lutego&#10;Liczba bezrobotnych ogółem w latach wyrażona w tysiącach osób:&#10;2016 rok 106,4&#10;2017 rok  89,5&#10;2018 rok 72,3&#10;2019 rok 66,5&#10;2020 rok 59,9&#10;2021 rok 72,7&#10;2022 rok 60,1&#10;2023 rok 57,5&#10;2024 rok 58,0&#10;2025 rok 60,0&#10;2026 rok 69,2&#10;Liczba bezrobotnych kobiet ogółem w latach wyrażona w tysiącach osób:&#10;2016 rok 53,7&#10;2017 rok 46,4&#10;2018 rok 38,5&#10;2019 rok 36,2&#10;2020 rok 32,2&#10;2021 rok 38,5&#10;2022 rok 31,6&#10;2023 rok 30,2&#10;2024 rok 29,7&#10;2025 rok 30,3&#10;2026 rok  3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0000" cy="2840925"/>
                    </a:xfrm>
                    <a:prstGeom prst="rect">
                      <a:avLst/>
                    </a:prstGeom>
                    <a:noFill/>
                  </pic:spPr>
                </pic:pic>
              </a:graphicData>
            </a:graphic>
          </wp:inline>
        </w:drawing>
      </w:r>
    </w:p>
    <w:p w14:paraId="0D40F5A2" w14:textId="65C98E5D" w:rsidR="00CE6DA0" w:rsidRDefault="009B76ED" w:rsidP="00CE6DA0">
      <w:r w:rsidRPr="009B76ED">
        <w:t xml:space="preserve">W okresie sprawozdawczym, w ujęciu miesiąc do miesiąca, we wszystkich powiatach województwa dolnośląskiego odnotowano wzrost liczby zarejestrowanych bezrobotnych, co wpisuje się w typowy dla </w:t>
      </w:r>
      <w:r w:rsidR="00CE6DA0">
        <w:t>początku roku charakter sezonowy</w:t>
      </w:r>
      <w:r w:rsidRPr="009B76ED">
        <w:t xml:space="preserve">. </w:t>
      </w:r>
      <w:r w:rsidR="00CE6DA0" w:rsidRPr="00CE6DA0">
        <w:t>Największy przyrost liczby osób pozostających bez pracy wystąpił w powiecie miasto Wrocław, gdzie w porównaniu z końcem stycznia 2026 r. liczba bezrobotnych zwiększyła się o 328 osób, co stanowiło najwyższą bezwzględną zmianę wśród wszystkich powiatów regionu. Na kolejnym miejscu znalazło się miasto Wałbrzych, w którym liczba zarejestrowanych bezrobotnych wzrosła o 150 osób.</w:t>
      </w:r>
    </w:p>
    <w:p w14:paraId="46642751" w14:textId="459B2F8E" w:rsidR="00B806B6" w:rsidRDefault="00B806B6" w:rsidP="00CE6DA0">
      <w:pPr>
        <w:pStyle w:val="Legenda"/>
      </w:pPr>
      <w:r>
        <w:lastRenderedPageBreak/>
        <w:t xml:space="preserve">Wykres </w:t>
      </w:r>
      <w:r>
        <w:fldChar w:fldCharType="begin"/>
      </w:r>
      <w:r>
        <w:instrText xml:space="preserve"> SEQ Wykres \* ARABIC </w:instrText>
      </w:r>
      <w:r>
        <w:fldChar w:fldCharType="separate"/>
      </w:r>
      <w:r w:rsidR="00440F8F">
        <w:rPr>
          <w:noProof/>
        </w:rPr>
        <w:t>2</w:t>
      </w:r>
      <w:r>
        <w:fldChar w:fldCharType="end"/>
      </w:r>
      <w:r w:rsidRPr="00B54DA3">
        <w:t xml:space="preserve"> Wzrost, spadek bezrobocia rejestrowanego w województwie dolnośląskim w okresie </w:t>
      </w:r>
      <w:r>
        <w:t xml:space="preserve">luty </w:t>
      </w:r>
      <w:r w:rsidRPr="00B54DA3">
        <w:t>2025 – 2026</w:t>
      </w:r>
    </w:p>
    <w:p w14:paraId="2D6336A4" w14:textId="24CDAD98" w:rsidR="00116A3F" w:rsidRPr="00865D41" w:rsidRDefault="00B806B6" w:rsidP="00A006AF">
      <w:r>
        <w:rPr>
          <w:noProof/>
        </w:rPr>
        <w:drawing>
          <wp:inline distT="0" distB="0" distL="0" distR="0" wp14:anchorId="11CDBCF2" wp14:editId="295FC586">
            <wp:extent cx="5220000" cy="2526921"/>
            <wp:effectExtent l="0" t="0" r="0" b="6985"/>
            <wp:docPr id="9" name="Obraz 9" descr="Wykres 2.Wzrost, spadek bezrobocia rejestrowanego w województwie dolnośląskim w okresie luty 2025 – 2026&#10;II 2025 0,8&#10;III 202 -0,5&#10;IV 2025 -2,1&#10;V 2025 -1,3&#10;VI 2025 1,3&#10;VII 2025 2,8&#10;VIII 2025 1,8&#10;IX 2025 0,5&#10;X 2025 -0,3&#10;XI 2025 0,4&#10;XII 2025 1,1&#10;I 2026 3,4&#10;II 2026 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Wykres 2.Wzrost, spadek bezrobocia rejestrowanego w województwie dolnośląskim w okresie luty 2025 – 2026&#10;II 2025 0,8&#10;III 202 -0,5&#10;IV 2025 -2,1&#10;V 2025 -1,3&#10;VI 2025 1,3&#10;VII 2025 2,8&#10;VIII 2025 1,8&#10;IX 2025 0,5&#10;X 2025 -0,3&#10;XI 2025 0,4&#10;XII 2025 1,1&#10;I 2026 3,4&#10;II 2026 2,1&#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0000" cy="2526921"/>
                    </a:xfrm>
                    <a:prstGeom prst="rect">
                      <a:avLst/>
                    </a:prstGeom>
                    <a:noFill/>
                  </pic:spPr>
                </pic:pic>
              </a:graphicData>
            </a:graphic>
          </wp:inline>
        </w:drawing>
      </w:r>
    </w:p>
    <w:p w14:paraId="4E59A481" w14:textId="77777777" w:rsidR="00CE6DA0" w:rsidRPr="00CE6DA0" w:rsidRDefault="00CE6DA0" w:rsidP="00CE6DA0">
      <w:r w:rsidRPr="00CE6DA0">
        <w:t>W ujęciu subregionalnym, na koniec lutego 2026 roku, największy przyrost liczby zarejestrowanych bezrobotnych odnotowano w podregionie wałbrzyskim, gdzie liczba osób pozostających bez pracy zwiększyła się o 621 osób. Skala tego wzrostu wskazuje, że podregion wałbrzyski w największym stopniu partycypował w ogólnym wzroście bezrobocia obserwowanym w województwie dolnośląskim na przełomie pierwszych miesięcy roku.</w:t>
      </w:r>
    </w:p>
    <w:p w14:paraId="308172BF" w14:textId="6D515E82" w:rsidR="00CE6DA0" w:rsidRDefault="00CE6DA0" w:rsidP="00CE6DA0">
      <w:r w:rsidRPr="00CE6DA0">
        <w:t>Zjawisko to wpisuje się w tendencje obserwowane na poziomie krajowym. Zgodnie z danymi Głównego Urzędu Statystycznego, w końcu lutego 2026 r. liczba zarejestrowanych bezrobotnych w Polsce wyniosła 954,9 tys. osób, co oznacza wzrost o 20,8 tys. osób w porównaniu z końcem stycznia 2026 r</w:t>
      </w:r>
      <w:r w:rsidR="00A474D5">
        <w:t>.</w:t>
      </w:r>
    </w:p>
    <w:p w14:paraId="49695FD9" w14:textId="6AB35FEF" w:rsidR="00B806B6" w:rsidRDefault="00B806B6" w:rsidP="00CE6DA0">
      <w:pPr>
        <w:pStyle w:val="Legenda"/>
      </w:pPr>
      <w:r>
        <w:t xml:space="preserve">Tabela </w:t>
      </w:r>
      <w:r>
        <w:fldChar w:fldCharType="begin"/>
      </w:r>
      <w:r>
        <w:instrText xml:space="preserve"> SEQ Tabela \* ARABIC </w:instrText>
      </w:r>
      <w:r>
        <w:fldChar w:fldCharType="separate"/>
      </w:r>
      <w:r w:rsidR="00440F8F">
        <w:rPr>
          <w:noProof/>
        </w:rPr>
        <w:t>1</w:t>
      </w:r>
      <w:r>
        <w:fldChar w:fldCharType="end"/>
      </w:r>
      <w:r w:rsidRPr="00BA7778">
        <w:t xml:space="preserve"> Wzrost/spadek bezrobocia rejestrowanego w województwie dolnośląskim w porównaniu do </w:t>
      </w:r>
      <w:r>
        <w:t>stycznia</w:t>
      </w:r>
      <w:r w:rsidRPr="00BA7778">
        <w:t xml:space="preserve"> 202</w:t>
      </w:r>
      <w:r>
        <w:t>6</w:t>
      </w:r>
    </w:p>
    <w:tbl>
      <w:tblPr>
        <w:tblW w:w="9140" w:type="dxa"/>
        <w:tblCellMar>
          <w:left w:w="70" w:type="dxa"/>
          <w:right w:w="70" w:type="dxa"/>
        </w:tblCellMar>
        <w:tblLook w:val="04A0" w:firstRow="1" w:lastRow="0" w:firstColumn="1" w:lastColumn="0" w:noHBand="0" w:noVBand="1"/>
        <w:tblCaption w:val="Wzrost/spadek bezrobocia rejestrowanego w województwie dolnośląskim w porównaniu do stycznia 2026"/>
      </w:tblPr>
      <w:tblGrid>
        <w:gridCol w:w="3420"/>
        <w:gridCol w:w="5720"/>
      </w:tblGrid>
      <w:tr w:rsidR="00B806B6" w:rsidRPr="00B806B6" w14:paraId="4EDE21D6" w14:textId="77777777" w:rsidTr="00B806B6">
        <w:trPr>
          <w:trHeight w:val="504"/>
          <w:tblHeader/>
        </w:trPr>
        <w:tc>
          <w:tcPr>
            <w:tcW w:w="342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C9BE759" w14:textId="77777777" w:rsidR="00B806B6" w:rsidRPr="00B806B6" w:rsidRDefault="00B806B6" w:rsidP="00B806B6">
            <w:pPr>
              <w:spacing w:before="0" w:after="0" w:line="240" w:lineRule="auto"/>
              <w:rPr>
                <w:rFonts w:ascii="Calibri" w:eastAsia="Times New Roman" w:hAnsi="Calibri" w:cs="Calibri"/>
                <w:b/>
                <w:bCs/>
                <w:color w:val="000000"/>
                <w:sz w:val="18"/>
                <w:szCs w:val="18"/>
                <w:lang w:eastAsia="pl-PL"/>
              </w:rPr>
            </w:pPr>
            <w:r w:rsidRPr="00B806B6">
              <w:rPr>
                <w:rFonts w:ascii="Calibri" w:eastAsia="Times New Roman" w:hAnsi="Calibri" w:cs="Calibri"/>
                <w:b/>
                <w:bCs/>
                <w:color w:val="000000"/>
                <w:sz w:val="18"/>
                <w:szCs w:val="18"/>
                <w:lang w:eastAsia="pl-PL"/>
              </w:rPr>
              <w:t>Podregiony</w:t>
            </w:r>
          </w:p>
        </w:tc>
        <w:tc>
          <w:tcPr>
            <w:tcW w:w="5720" w:type="dxa"/>
            <w:tcBorders>
              <w:top w:val="single" w:sz="8" w:space="0" w:color="auto"/>
              <w:left w:val="nil"/>
              <w:bottom w:val="single" w:sz="8" w:space="0" w:color="auto"/>
              <w:right w:val="single" w:sz="8" w:space="0" w:color="auto"/>
            </w:tcBorders>
            <w:shd w:val="clear" w:color="auto" w:fill="auto"/>
            <w:hideMark/>
          </w:tcPr>
          <w:p w14:paraId="740715D9" w14:textId="77777777" w:rsidR="00B806B6" w:rsidRPr="00B806B6" w:rsidRDefault="00B806B6" w:rsidP="00B806B6">
            <w:pPr>
              <w:spacing w:before="0" w:after="0" w:line="240" w:lineRule="auto"/>
              <w:rPr>
                <w:rFonts w:ascii="Calibri" w:eastAsia="Times New Roman" w:hAnsi="Calibri" w:cs="Calibri"/>
                <w:b/>
                <w:bCs/>
                <w:color w:val="000000"/>
                <w:sz w:val="18"/>
                <w:szCs w:val="18"/>
                <w:lang w:eastAsia="pl-PL"/>
              </w:rPr>
            </w:pPr>
            <w:r w:rsidRPr="00B806B6">
              <w:rPr>
                <w:rFonts w:ascii="Calibri" w:eastAsia="Times New Roman" w:hAnsi="Calibri" w:cs="Calibri"/>
                <w:b/>
                <w:bCs/>
                <w:color w:val="000000"/>
                <w:sz w:val="18"/>
                <w:szCs w:val="18"/>
                <w:lang w:eastAsia="pl-PL"/>
              </w:rPr>
              <w:t>Wzrost/spadek [+/-] liczby zarejestrowanych bezrobotnych w porównaniu do stanu na dzień 31.01.2026</w:t>
            </w:r>
          </w:p>
        </w:tc>
      </w:tr>
      <w:tr w:rsidR="00B806B6" w:rsidRPr="00B806B6" w14:paraId="693AE04F" w14:textId="77777777" w:rsidTr="00B806B6">
        <w:trPr>
          <w:trHeight w:val="288"/>
        </w:trPr>
        <w:tc>
          <w:tcPr>
            <w:tcW w:w="3420" w:type="dxa"/>
            <w:tcBorders>
              <w:top w:val="nil"/>
              <w:left w:val="single" w:sz="8" w:space="0" w:color="auto"/>
              <w:bottom w:val="single" w:sz="4" w:space="0" w:color="auto"/>
              <w:right w:val="single" w:sz="4" w:space="0" w:color="auto"/>
            </w:tcBorders>
            <w:shd w:val="clear" w:color="auto" w:fill="auto"/>
            <w:hideMark/>
          </w:tcPr>
          <w:p w14:paraId="3AC50042" w14:textId="77777777" w:rsidR="00B806B6" w:rsidRPr="00B806B6" w:rsidRDefault="00B806B6" w:rsidP="00B806B6">
            <w:pPr>
              <w:spacing w:before="0" w:after="0" w:line="240" w:lineRule="auto"/>
              <w:rPr>
                <w:rFonts w:ascii="Calibri" w:eastAsia="Times New Roman" w:hAnsi="Calibri" w:cs="Calibri"/>
                <w:b/>
                <w:bCs/>
                <w:color w:val="auto"/>
                <w:sz w:val="18"/>
                <w:szCs w:val="18"/>
                <w:lang w:eastAsia="pl-PL"/>
              </w:rPr>
            </w:pPr>
            <w:r w:rsidRPr="00B806B6">
              <w:rPr>
                <w:rFonts w:ascii="Calibri" w:eastAsia="Times New Roman" w:hAnsi="Calibri" w:cs="Calibri"/>
                <w:b/>
                <w:bCs/>
                <w:color w:val="auto"/>
                <w:sz w:val="18"/>
                <w:szCs w:val="18"/>
                <w:lang w:eastAsia="pl-PL"/>
              </w:rPr>
              <w:t>Województwo - ogółem</w:t>
            </w:r>
          </w:p>
        </w:tc>
        <w:tc>
          <w:tcPr>
            <w:tcW w:w="5720" w:type="dxa"/>
            <w:tcBorders>
              <w:top w:val="nil"/>
              <w:left w:val="nil"/>
              <w:bottom w:val="single" w:sz="4" w:space="0" w:color="auto"/>
              <w:right w:val="single" w:sz="8" w:space="0" w:color="auto"/>
            </w:tcBorders>
            <w:shd w:val="clear" w:color="auto" w:fill="auto"/>
            <w:vAlign w:val="center"/>
            <w:hideMark/>
          </w:tcPr>
          <w:p w14:paraId="32A7C4EF" w14:textId="77777777" w:rsidR="00B806B6" w:rsidRPr="00B806B6" w:rsidRDefault="00B806B6" w:rsidP="00B806B6">
            <w:pPr>
              <w:spacing w:before="0" w:after="0" w:line="240" w:lineRule="auto"/>
              <w:rPr>
                <w:rFonts w:ascii="Calibri" w:eastAsia="Times New Roman" w:hAnsi="Calibri" w:cs="Calibri"/>
                <w:b/>
                <w:bCs/>
                <w:color w:val="auto"/>
                <w:sz w:val="18"/>
                <w:szCs w:val="18"/>
                <w:lang w:eastAsia="pl-PL"/>
              </w:rPr>
            </w:pPr>
            <w:r w:rsidRPr="00B806B6">
              <w:rPr>
                <w:rFonts w:ascii="Calibri" w:eastAsia="Times New Roman" w:hAnsi="Calibri" w:cs="Calibri"/>
                <w:b/>
                <w:bCs/>
                <w:color w:val="auto"/>
                <w:sz w:val="18"/>
                <w:szCs w:val="18"/>
                <w:lang w:eastAsia="pl-PL"/>
              </w:rPr>
              <w:t>2051</w:t>
            </w:r>
          </w:p>
        </w:tc>
      </w:tr>
      <w:tr w:rsidR="00B806B6" w:rsidRPr="00B806B6" w14:paraId="28F54962" w14:textId="77777777" w:rsidTr="00B806B6">
        <w:trPr>
          <w:trHeight w:val="288"/>
        </w:trPr>
        <w:tc>
          <w:tcPr>
            <w:tcW w:w="3420" w:type="dxa"/>
            <w:tcBorders>
              <w:top w:val="nil"/>
              <w:left w:val="single" w:sz="8" w:space="0" w:color="auto"/>
              <w:bottom w:val="single" w:sz="4" w:space="0" w:color="auto"/>
              <w:right w:val="single" w:sz="4" w:space="0" w:color="auto"/>
            </w:tcBorders>
            <w:shd w:val="clear" w:color="000000" w:fill="FFFFFF"/>
            <w:hideMark/>
          </w:tcPr>
          <w:p w14:paraId="12BC2E96" w14:textId="77777777" w:rsidR="00B806B6" w:rsidRPr="00B806B6" w:rsidRDefault="00B806B6" w:rsidP="00B806B6">
            <w:pPr>
              <w:spacing w:before="0" w:after="0" w:line="240" w:lineRule="auto"/>
              <w:rPr>
                <w:rFonts w:ascii="Calibri" w:eastAsia="Times New Roman" w:hAnsi="Calibri" w:cs="Calibri"/>
                <w:color w:val="auto"/>
                <w:sz w:val="18"/>
                <w:szCs w:val="18"/>
                <w:lang w:eastAsia="pl-PL"/>
              </w:rPr>
            </w:pPr>
            <w:r w:rsidRPr="00B806B6">
              <w:rPr>
                <w:rFonts w:ascii="Calibri" w:eastAsia="Times New Roman" w:hAnsi="Calibri" w:cs="Calibri"/>
                <w:color w:val="auto"/>
                <w:sz w:val="18"/>
                <w:szCs w:val="18"/>
                <w:lang w:eastAsia="pl-PL"/>
              </w:rPr>
              <w:t>Podregion wałbrzyski</w:t>
            </w:r>
          </w:p>
        </w:tc>
        <w:tc>
          <w:tcPr>
            <w:tcW w:w="5720" w:type="dxa"/>
            <w:tcBorders>
              <w:top w:val="nil"/>
              <w:left w:val="nil"/>
              <w:bottom w:val="single" w:sz="4" w:space="0" w:color="auto"/>
              <w:right w:val="single" w:sz="8" w:space="0" w:color="auto"/>
            </w:tcBorders>
            <w:shd w:val="clear" w:color="000000" w:fill="FFFFFF"/>
            <w:vAlign w:val="center"/>
            <w:hideMark/>
          </w:tcPr>
          <w:p w14:paraId="5853FBF2" w14:textId="77777777" w:rsidR="00B806B6" w:rsidRPr="00B806B6" w:rsidRDefault="00B806B6" w:rsidP="00B806B6">
            <w:pPr>
              <w:spacing w:before="0" w:after="0" w:line="240" w:lineRule="auto"/>
              <w:rPr>
                <w:rFonts w:ascii="Calibri" w:eastAsia="Times New Roman" w:hAnsi="Calibri" w:cs="Calibri"/>
                <w:color w:val="auto"/>
                <w:sz w:val="18"/>
                <w:szCs w:val="18"/>
                <w:lang w:eastAsia="pl-PL"/>
              </w:rPr>
            </w:pPr>
            <w:r w:rsidRPr="00B806B6">
              <w:rPr>
                <w:rFonts w:ascii="Calibri" w:eastAsia="Times New Roman" w:hAnsi="Calibri" w:cs="Calibri"/>
                <w:color w:val="auto"/>
                <w:sz w:val="18"/>
                <w:szCs w:val="18"/>
                <w:lang w:eastAsia="pl-PL"/>
              </w:rPr>
              <w:t>621</w:t>
            </w:r>
          </w:p>
        </w:tc>
      </w:tr>
      <w:tr w:rsidR="00B806B6" w:rsidRPr="00B806B6" w14:paraId="01976A40" w14:textId="77777777" w:rsidTr="00B806B6">
        <w:trPr>
          <w:trHeight w:val="288"/>
        </w:trPr>
        <w:tc>
          <w:tcPr>
            <w:tcW w:w="3420" w:type="dxa"/>
            <w:tcBorders>
              <w:top w:val="nil"/>
              <w:left w:val="single" w:sz="8" w:space="0" w:color="auto"/>
              <w:bottom w:val="single" w:sz="4" w:space="0" w:color="auto"/>
              <w:right w:val="single" w:sz="4" w:space="0" w:color="auto"/>
            </w:tcBorders>
            <w:shd w:val="clear" w:color="000000" w:fill="FFFFFF"/>
            <w:hideMark/>
          </w:tcPr>
          <w:p w14:paraId="650CFF9A" w14:textId="77777777" w:rsidR="00B806B6" w:rsidRPr="00B806B6" w:rsidRDefault="00B806B6" w:rsidP="00B806B6">
            <w:pPr>
              <w:spacing w:before="0" w:after="0" w:line="240" w:lineRule="auto"/>
              <w:rPr>
                <w:rFonts w:ascii="Calibri" w:eastAsia="Times New Roman" w:hAnsi="Calibri" w:cs="Calibri"/>
                <w:color w:val="auto"/>
                <w:sz w:val="18"/>
                <w:szCs w:val="18"/>
                <w:lang w:eastAsia="pl-PL"/>
              </w:rPr>
            </w:pPr>
            <w:r w:rsidRPr="00B806B6">
              <w:rPr>
                <w:rFonts w:ascii="Calibri" w:eastAsia="Times New Roman" w:hAnsi="Calibri" w:cs="Calibri"/>
                <w:color w:val="auto"/>
                <w:sz w:val="18"/>
                <w:szCs w:val="18"/>
                <w:lang w:eastAsia="pl-PL"/>
              </w:rPr>
              <w:t>Podregion jeleniogórski</w:t>
            </w:r>
          </w:p>
        </w:tc>
        <w:tc>
          <w:tcPr>
            <w:tcW w:w="5720" w:type="dxa"/>
            <w:tcBorders>
              <w:top w:val="nil"/>
              <w:left w:val="nil"/>
              <w:bottom w:val="single" w:sz="4" w:space="0" w:color="auto"/>
              <w:right w:val="single" w:sz="8" w:space="0" w:color="auto"/>
            </w:tcBorders>
            <w:shd w:val="clear" w:color="000000" w:fill="FFFFFF"/>
            <w:vAlign w:val="center"/>
            <w:hideMark/>
          </w:tcPr>
          <w:p w14:paraId="3EB6B054" w14:textId="77777777" w:rsidR="00B806B6" w:rsidRPr="00B806B6" w:rsidRDefault="00B806B6" w:rsidP="00B806B6">
            <w:pPr>
              <w:spacing w:before="0" w:after="0" w:line="240" w:lineRule="auto"/>
              <w:rPr>
                <w:rFonts w:ascii="Calibri" w:eastAsia="Times New Roman" w:hAnsi="Calibri" w:cs="Calibri"/>
                <w:color w:val="auto"/>
                <w:sz w:val="18"/>
                <w:szCs w:val="18"/>
                <w:lang w:eastAsia="pl-PL"/>
              </w:rPr>
            </w:pPr>
            <w:r w:rsidRPr="00B806B6">
              <w:rPr>
                <w:rFonts w:ascii="Calibri" w:eastAsia="Times New Roman" w:hAnsi="Calibri" w:cs="Calibri"/>
                <w:color w:val="auto"/>
                <w:sz w:val="18"/>
                <w:szCs w:val="18"/>
                <w:lang w:eastAsia="pl-PL"/>
              </w:rPr>
              <w:t>470</w:t>
            </w:r>
          </w:p>
        </w:tc>
      </w:tr>
      <w:tr w:rsidR="00B806B6" w:rsidRPr="00B806B6" w14:paraId="03C39BA6" w14:textId="77777777" w:rsidTr="00B806B6">
        <w:trPr>
          <w:trHeight w:val="288"/>
        </w:trPr>
        <w:tc>
          <w:tcPr>
            <w:tcW w:w="3420" w:type="dxa"/>
            <w:tcBorders>
              <w:top w:val="nil"/>
              <w:left w:val="single" w:sz="8" w:space="0" w:color="auto"/>
              <w:bottom w:val="single" w:sz="4" w:space="0" w:color="auto"/>
              <w:right w:val="single" w:sz="4" w:space="0" w:color="auto"/>
            </w:tcBorders>
            <w:shd w:val="clear" w:color="auto" w:fill="auto"/>
            <w:noWrap/>
            <w:hideMark/>
          </w:tcPr>
          <w:p w14:paraId="28D3C3A9" w14:textId="77777777" w:rsidR="00B806B6" w:rsidRPr="00B806B6" w:rsidRDefault="00B806B6" w:rsidP="00B806B6">
            <w:pPr>
              <w:spacing w:before="0" w:after="0" w:line="240" w:lineRule="auto"/>
              <w:rPr>
                <w:rFonts w:ascii="Calibri" w:eastAsia="Times New Roman" w:hAnsi="Calibri" w:cs="Calibri"/>
                <w:color w:val="auto"/>
                <w:sz w:val="18"/>
                <w:szCs w:val="18"/>
                <w:lang w:eastAsia="pl-PL"/>
              </w:rPr>
            </w:pPr>
            <w:r w:rsidRPr="00B806B6">
              <w:rPr>
                <w:rFonts w:ascii="Calibri" w:eastAsia="Times New Roman" w:hAnsi="Calibri" w:cs="Calibri"/>
                <w:color w:val="auto"/>
                <w:sz w:val="18"/>
                <w:szCs w:val="18"/>
                <w:lang w:eastAsia="pl-PL"/>
              </w:rPr>
              <w:t>Podregion  wrocławski</w:t>
            </w:r>
          </w:p>
        </w:tc>
        <w:tc>
          <w:tcPr>
            <w:tcW w:w="5720" w:type="dxa"/>
            <w:tcBorders>
              <w:top w:val="nil"/>
              <w:left w:val="nil"/>
              <w:bottom w:val="single" w:sz="4" w:space="0" w:color="auto"/>
              <w:right w:val="single" w:sz="8" w:space="0" w:color="auto"/>
            </w:tcBorders>
            <w:shd w:val="clear" w:color="auto" w:fill="auto"/>
            <w:noWrap/>
            <w:vAlign w:val="center"/>
            <w:hideMark/>
          </w:tcPr>
          <w:p w14:paraId="5F05FCE4" w14:textId="77777777" w:rsidR="00B806B6" w:rsidRPr="00B806B6" w:rsidRDefault="00B806B6" w:rsidP="00B806B6">
            <w:pPr>
              <w:spacing w:before="0" w:after="0" w:line="240" w:lineRule="auto"/>
              <w:rPr>
                <w:rFonts w:ascii="Calibri" w:eastAsia="Times New Roman" w:hAnsi="Calibri" w:cs="Calibri"/>
                <w:color w:val="auto"/>
                <w:sz w:val="18"/>
                <w:szCs w:val="18"/>
                <w:lang w:eastAsia="pl-PL"/>
              </w:rPr>
            </w:pPr>
            <w:r w:rsidRPr="00B806B6">
              <w:rPr>
                <w:rFonts w:ascii="Calibri" w:eastAsia="Times New Roman" w:hAnsi="Calibri" w:cs="Calibri"/>
                <w:color w:val="auto"/>
                <w:sz w:val="18"/>
                <w:szCs w:val="18"/>
                <w:lang w:eastAsia="pl-PL"/>
              </w:rPr>
              <w:t>363</w:t>
            </w:r>
          </w:p>
        </w:tc>
      </w:tr>
      <w:tr w:rsidR="00B806B6" w:rsidRPr="00B806B6" w14:paraId="5EFE57B3" w14:textId="77777777" w:rsidTr="00B806B6">
        <w:trPr>
          <w:trHeight w:val="288"/>
        </w:trPr>
        <w:tc>
          <w:tcPr>
            <w:tcW w:w="3420" w:type="dxa"/>
            <w:tcBorders>
              <w:top w:val="nil"/>
              <w:left w:val="single" w:sz="8" w:space="0" w:color="auto"/>
              <w:bottom w:val="single" w:sz="4" w:space="0" w:color="auto"/>
              <w:right w:val="single" w:sz="4" w:space="0" w:color="auto"/>
            </w:tcBorders>
            <w:shd w:val="clear" w:color="auto" w:fill="auto"/>
            <w:noWrap/>
            <w:hideMark/>
          </w:tcPr>
          <w:p w14:paraId="0236DED0" w14:textId="77777777" w:rsidR="00B806B6" w:rsidRPr="00B806B6" w:rsidRDefault="00B806B6" w:rsidP="00B806B6">
            <w:pPr>
              <w:spacing w:before="0" w:after="0" w:line="240" w:lineRule="auto"/>
              <w:rPr>
                <w:rFonts w:ascii="Calibri" w:eastAsia="Times New Roman" w:hAnsi="Calibri" w:cs="Calibri"/>
                <w:color w:val="auto"/>
                <w:sz w:val="18"/>
                <w:szCs w:val="18"/>
                <w:lang w:eastAsia="pl-PL"/>
              </w:rPr>
            </w:pPr>
            <w:r w:rsidRPr="00B806B6">
              <w:rPr>
                <w:rFonts w:ascii="Calibri" w:eastAsia="Times New Roman" w:hAnsi="Calibri" w:cs="Calibri"/>
                <w:color w:val="auto"/>
                <w:sz w:val="18"/>
                <w:szCs w:val="18"/>
                <w:lang w:eastAsia="pl-PL"/>
              </w:rPr>
              <w:t>Podregion m. Wrocław</w:t>
            </w:r>
          </w:p>
        </w:tc>
        <w:tc>
          <w:tcPr>
            <w:tcW w:w="5720" w:type="dxa"/>
            <w:tcBorders>
              <w:top w:val="nil"/>
              <w:left w:val="nil"/>
              <w:bottom w:val="single" w:sz="4" w:space="0" w:color="auto"/>
              <w:right w:val="single" w:sz="8" w:space="0" w:color="auto"/>
            </w:tcBorders>
            <w:shd w:val="clear" w:color="auto" w:fill="auto"/>
            <w:noWrap/>
            <w:vAlign w:val="center"/>
            <w:hideMark/>
          </w:tcPr>
          <w:p w14:paraId="0E0E8B30" w14:textId="77777777" w:rsidR="00B806B6" w:rsidRPr="00B806B6" w:rsidRDefault="00B806B6" w:rsidP="00B806B6">
            <w:pPr>
              <w:spacing w:before="0" w:after="0" w:line="240" w:lineRule="auto"/>
              <w:rPr>
                <w:rFonts w:ascii="Calibri" w:eastAsia="Times New Roman" w:hAnsi="Calibri" w:cs="Calibri"/>
                <w:color w:val="auto"/>
                <w:sz w:val="18"/>
                <w:szCs w:val="18"/>
                <w:lang w:eastAsia="pl-PL"/>
              </w:rPr>
            </w:pPr>
            <w:r w:rsidRPr="00B806B6">
              <w:rPr>
                <w:rFonts w:ascii="Calibri" w:eastAsia="Times New Roman" w:hAnsi="Calibri" w:cs="Calibri"/>
                <w:color w:val="auto"/>
                <w:sz w:val="18"/>
                <w:szCs w:val="18"/>
                <w:lang w:eastAsia="pl-PL"/>
              </w:rPr>
              <w:t>328</w:t>
            </w:r>
          </w:p>
        </w:tc>
      </w:tr>
      <w:tr w:rsidR="00B806B6" w:rsidRPr="00B806B6" w14:paraId="65EBEA8D" w14:textId="77777777" w:rsidTr="00B806B6">
        <w:trPr>
          <w:trHeight w:val="300"/>
        </w:trPr>
        <w:tc>
          <w:tcPr>
            <w:tcW w:w="3420" w:type="dxa"/>
            <w:tcBorders>
              <w:top w:val="nil"/>
              <w:left w:val="single" w:sz="8" w:space="0" w:color="auto"/>
              <w:bottom w:val="single" w:sz="8" w:space="0" w:color="auto"/>
              <w:right w:val="single" w:sz="4" w:space="0" w:color="auto"/>
            </w:tcBorders>
            <w:shd w:val="clear" w:color="000000" w:fill="FFFFFF"/>
            <w:hideMark/>
          </w:tcPr>
          <w:p w14:paraId="5E7765C3" w14:textId="77777777" w:rsidR="00B806B6" w:rsidRPr="00B806B6" w:rsidRDefault="00B806B6" w:rsidP="00B806B6">
            <w:pPr>
              <w:spacing w:before="0" w:after="0" w:line="240" w:lineRule="auto"/>
              <w:rPr>
                <w:rFonts w:ascii="Calibri" w:eastAsia="Times New Roman" w:hAnsi="Calibri" w:cs="Calibri"/>
                <w:color w:val="auto"/>
                <w:sz w:val="18"/>
                <w:szCs w:val="18"/>
                <w:lang w:eastAsia="pl-PL"/>
              </w:rPr>
            </w:pPr>
            <w:r w:rsidRPr="00B806B6">
              <w:rPr>
                <w:rFonts w:ascii="Calibri" w:eastAsia="Times New Roman" w:hAnsi="Calibri" w:cs="Calibri"/>
                <w:color w:val="auto"/>
                <w:sz w:val="18"/>
                <w:szCs w:val="18"/>
                <w:lang w:eastAsia="pl-PL"/>
              </w:rPr>
              <w:t>Podregion  legnicko-głogowski</w:t>
            </w:r>
          </w:p>
        </w:tc>
        <w:tc>
          <w:tcPr>
            <w:tcW w:w="5720" w:type="dxa"/>
            <w:tcBorders>
              <w:top w:val="nil"/>
              <w:left w:val="nil"/>
              <w:bottom w:val="single" w:sz="8" w:space="0" w:color="auto"/>
              <w:right w:val="single" w:sz="8" w:space="0" w:color="auto"/>
            </w:tcBorders>
            <w:shd w:val="clear" w:color="000000" w:fill="FFFFFF"/>
            <w:vAlign w:val="center"/>
            <w:hideMark/>
          </w:tcPr>
          <w:p w14:paraId="2587CDB9" w14:textId="77777777" w:rsidR="00B806B6" w:rsidRPr="00B806B6" w:rsidRDefault="00B806B6" w:rsidP="00B806B6">
            <w:pPr>
              <w:spacing w:before="0" w:after="0" w:line="240" w:lineRule="auto"/>
              <w:rPr>
                <w:rFonts w:ascii="Calibri" w:eastAsia="Times New Roman" w:hAnsi="Calibri" w:cs="Calibri"/>
                <w:color w:val="auto"/>
                <w:sz w:val="18"/>
                <w:szCs w:val="18"/>
                <w:lang w:eastAsia="pl-PL"/>
              </w:rPr>
            </w:pPr>
            <w:r w:rsidRPr="00B806B6">
              <w:rPr>
                <w:rFonts w:ascii="Calibri" w:eastAsia="Times New Roman" w:hAnsi="Calibri" w:cs="Calibri"/>
                <w:color w:val="auto"/>
                <w:sz w:val="18"/>
                <w:szCs w:val="18"/>
                <w:lang w:eastAsia="pl-PL"/>
              </w:rPr>
              <w:t>269</w:t>
            </w:r>
          </w:p>
        </w:tc>
      </w:tr>
    </w:tbl>
    <w:p w14:paraId="0B87BD66" w14:textId="6F232326" w:rsidR="00D927EC" w:rsidRDefault="00D927EC" w:rsidP="00D927EC">
      <w:r w:rsidRPr="00D927EC">
        <w:t>Zgodnie z art. 69 ustawy z dnia 20 marca 2025 r. o rynku pracy i służbach zatrudnienia, określone kategorie bezrobotnych korzystają z pierwszeństwa w kierowaniu do udziału w formach pomocy. W ujęciu statystycznym klasyfikacja ta pełni funkcję operacyjną — identyfikuje grupy priorytetowe dla działań publicznych służb zatrudnienia oraz umożliwia monitorowanie skali populacji wymagającej preferencyjnego dostępu do instrumentów rynku pracy.</w:t>
      </w:r>
    </w:p>
    <w:p w14:paraId="651D0839" w14:textId="77777777" w:rsidR="001146E7" w:rsidRDefault="001146E7" w:rsidP="001146E7">
      <w:r>
        <w:t>Na koniec lutego 2026 r. w województwie dolnośląskim największy udział wśród bezrobotnych objętych kryteriami pierwszeństwa w dostępie do form wsparcia stanowili długotrwale bezrobotni (44,3%), a w dalszej kolejności osoby bez kwalifikacji zawodowych (35,1%). Najmniej liczną kategorię tworzyły osoby bezrobotne posiadające Kartę Dużej Rodziny (4,0%).</w:t>
      </w:r>
    </w:p>
    <w:p w14:paraId="0A3CD8DE" w14:textId="77777777" w:rsidR="001146E7" w:rsidRDefault="001146E7" w:rsidP="001146E7">
      <w:r>
        <w:t>Wskazane udziały należy interpretować jako odsetek populacji spełniającej dane kryterium, przy czym kategorie te nie są rozłączne, co oznacza, że jedna osoba bezrobotna może jednocześnie należeć do więcej niż jednej grupy priorytetowej.</w:t>
      </w:r>
    </w:p>
    <w:p w14:paraId="271B24DE" w14:textId="7D4E7346" w:rsidR="00332726" w:rsidRDefault="00332726" w:rsidP="00332726">
      <w:pPr>
        <w:pStyle w:val="Legenda"/>
      </w:pPr>
      <w:r>
        <w:lastRenderedPageBreak/>
        <w:t xml:space="preserve">Tabela </w:t>
      </w:r>
      <w:r>
        <w:fldChar w:fldCharType="begin"/>
      </w:r>
      <w:r>
        <w:instrText xml:space="preserve"> SEQ Tabela \* ARABIC </w:instrText>
      </w:r>
      <w:r>
        <w:fldChar w:fldCharType="separate"/>
      </w:r>
      <w:r w:rsidR="00440F8F">
        <w:rPr>
          <w:noProof/>
        </w:rPr>
        <w:t>2</w:t>
      </w:r>
      <w:r>
        <w:fldChar w:fldCharType="end"/>
      </w:r>
      <w:r>
        <w:t xml:space="preserve"> Porównanie struktury</w:t>
      </w:r>
      <w:r w:rsidRPr="003F6668">
        <w:t xml:space="preserve"> wybranych grup bezrobotnych na dolnośląskim rynku pracy </w:t>
      </w:r>
      <w:r>
        <w:t>w okresie styczeń-luty 2026</w:t>
      </w:r>
    </w:p>
    <w:tbl>
      <w:tblPr>
        <w:tblW w:w="10480" w:type="dxa"/>
        <w:tblCellMar>
          <w:left w:w="70" w:type="dxa"/>
          <w:right w:w="70" w:type="dxa"/>
        </w:tblCellMar>
        <w:tblLook w:val="04A0" w:firstRow="1" w:lastRow="0" w:firstColumn="1" w:lastColumn="0" w:noHBand="0" w:noVBand="1"/>
        <w:tblCaption w:val="Tabela 2 Porównanie struktury wybranych grup bezrobotnych na dolnośląskim rynku pracy w okresie styczeń-luty 2026"/>
      </w:tblPr>
      <w:tblGrid>
        <w:gridCol w:w="2684"/>
        <w:gridCol w:w="1275"/>
        <w:gridCol w:w="1134"/>
        <w:gridCol w:w="1418"/>
        <w:gridCol w:w="1276"/>
        <w:gridCol w:w="1275"/>
        <w:gridCol w:w="1418"/>
      </w:tblGrid>
      <w:tr w:rsidR="00B0126B" w:rsidRPr="00A83D61" w14:paraId="1E814160" w14:textId="77777777" w:rsidTr="00B0126B">
        <w:trPr>
          <w:trHeight w:val="288"/>
          <w:tblHeader/>
        </w:trPr>
        <w:tc>
          <w:tcPr>
            <w:tcW w:w="268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78CF5F4"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Okres statystyczny</w:t>
            </w:r>
          </w:p>
        </w:tc>
        <w:tc>
          <w:tcPr>
            <w:tcW w:w="1275" w:type="dxa"/>
            <w:tcBorders>
              <w:top w:val="single" w:sz="8" w:space="0" w:color="auto"/>
              <w:left w:val="nil"/>
              <w:bottom w:val="single" w:sz="4" w:space="0" w:color="auto"/>
              <w:right w:val="single" w:sz="4" w:space="0" w:color="auto"/>
            </w:tcBorders>
            <w:shd w:val="clear" w:color="auto" w:fill="auto"/>
            <w:noWrap/>
            <w:vAlign w:val="bottom"/>
            <w:hideMark/>
          </w:tcPr>
          <w:p w14:paraId="35C4705A"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28.02.2026</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4C16F6F3"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28.02.2026</w:t>
            </w:r>
          </w:p>
        </w:tc>
        <w:tc>
          <w:tcPr>
            <w:tcW w:w="1418" w:type="dxa"/>
            <w:tcBorders>
              <w:top w:val="single" w:sz="8" w:space="0" w:color="auto"/>
              <w:left w:val="nil"/>
              <w:bottom w:val="single" w:sz="4" w:space="0" w:color="auto"/>
              <w:right w:val="single" w:sz="8" w:space="0" w:color="auto"/>
            </w:tcBorders>
            <w:shd w:val="clear" w:color="auto" w:fill="auto"/>
            <w:noWrap/>
            <w:vAlign w:val="bottom"/>
            <w:hideMark/>
          </w:tcPr>
          <w:p w14:paraId="280CA258"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28.02.2026</w:t>
            </w:r>
          </w:p>
        </w:tc>
        <w:tc>
          <w:tcPr>
            <w:tcW w:w="1276" w:type="dxa"/>
            <w:tcBorders>
              <w:top w:val="single" w:sz="8" w:space="0" w:color="auto"/>
              <w:left w:val="nil"/>
              <w:bottom w:val="single" w:sz="4" w:space="0" w:color="auto"/>
              <w:right w:val="single" w:sz="4" w:space="0" w:color="auto"/>
            </w:tcBorders>
            <w:shd w:val="clear" w:color="auto" w:fill="auto"/>
            <w:noWrap/>
            <w:vAlign w:val="bottom"/>
            <w:hideMark/>
          </w:tcPr>
          <w:p w14:paraId="07BCCA30"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31.01.2026</w:t>
            </w:r>
          </w:p>
        </w:tc>
        <w:tc>
          <w:tcPr>
            <w:tcW w:w="1275" w:type="dxa"/>
            <w:tcBorders>
              <w:top w:val="single" w:sz="8" w:space="0" w:color="auto"/>
              <w:left w:val="nil"/>
              <w:bottom w:val="single" w:sz="4" w:space="0" w:color="auto"/>
              <w:right w:val="single" w:sz="4" w:space="0" w:color="auto"/>
            </w:tcBorders>
            <w:shd w:val="clear" w:color="auto" w:fill="auto"/>
            <w:noWrap/>
            <w:vAlign w:val="bottom"/>
            <w:hideMark/>
          </w:tcPr>
          <w:p w14:paraId="70A53A19"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31.01.2026</w:t>
            </w:r>
          </w:p>
        </w:tc>
        <w:tc>
          <w:tcPr>
            <w:tcW w:w="1418" w:type="dxa"/>
            <w:tcBorders>
              <w:top w:val="single" w:sz="8" w:space="0" w:color="auto"/>
              <w:left w:val="nil"/>
              <w:bottom w:val="single" w:sz="4" w:space="0" w:color="auto"/>
              <w:right w:val="single" w:sz="8" w:space="0" w:color="auto"/>
            </w:tcBorders>
            <w:shd w:val="clear" w:color="auto" w:fill="auto"/>
            <w:noWrap/>
            <w:vAlign w:val="bottom"/>
            <w:hideMark/>
          </w:tcPr>
          <w:p w14:paraId="0DB2C6CC"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31.01.2026</w:t>
            </w:r>
          </w:p>
        </w:tc>
      </w:tr>
      <w:tr w:rsidR="00B0126B" w:rsidRPr="00A83D61" w14:paraId="3CBDF090" w14:textId="77777777" w:rsidTr="00B0126B">
        <w:trPr>
          <w:trHeight w:val="288"/>
          <w:tblHeader/>
        </w:trPr>
        <w:tc>
          <w:tcPr>
            <w:tcW w:w="2684" w:type="dxa"/>
            <w:tcBorders>
              <w:top w:val="nil"/>
              <w:left w:val="single" w:sz="8" w:space="0" w:color="auto"/>
              <w:bottom w:val="single" w:sz="4" w:space="0" w:color="auto"/>
              <w:right w:val="single" w:sz="8" w:space="0" w:color="auto"/>
            </w:tcBorders>
            <w:shd w:val="clear" w:color="auto" w:fill="auto"/>
            <w:noWrap/>
            <w:vAlign w:val="center"/>
            <w:hideMark/>
          </w:tcPr>
          <w:p w14:paraId="5FB5BB5E"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Kategoria</w:t>
            </w:r>
          </w:p>
        </w:tc>
        <w:tc>
          <w:tcPr>
            <w:tcW w:w="1275" w:type="dxa"/>
            <w:tcBorders>
              <w:top w:val="nil"/>
              <w:left w:val="nil"/>
              <w:bottom w:val="single" w:sz="4" w:space="0" w:color="auto"/>
              <w:right w:val="single" w:sz="4" w:space="0" w:color="auto"/>
            </w:tcBorders>
            <w:shd w:val="clear" w:color="auto" w:fill="auto"/>
            <w:noWrap/>
            <w:vAlign w:val="bottom"/>
            <w:hideMark/>
          </w:tcPr>
          <w:p w14:paraId="59E1E787"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Ogółem</w:t>
            </w:r>
          </w:p>
        </w:tc>
        <w:tc>
          <w:tcPr>
            <w:tcW w:w="1134" w:type="dxa"/>
            <w:tcBorders>
              <w:top w:val="nil"/>
              <w:left w:val="nil"/>
              <w:bottom w:val="single" w:sz="4" w:space="0" w:color="auto"/>
              <w:right w:val="single" w:sz="4" w:space="0" w:color="auto"/>
            </w:tcBorders>
            <w:shd w:val="clear" w:color="auto" w:fill="auto"/>
            <w:noWrap/>
            <w:vAlign w:val="bottom"/>
            <w:hideMark/>
          </w:tcPr>
          <w:p w14:paraId="4A7C12D7"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Kobiety</w:t>
            </w:r>
          </w:p>
        </w:tc>
        <w:tc>
          <w:tcPr>
            <w:tcW w:w="1418" w:type="dxa"/>
            <w:tcBorders>
              <w:top w:val="nil"/>
              <w:left w:val="nil"/>
              <w:bottom w:val="single" w:sz="4" w:space="0" w:color="auto"/>
              <w:right w:val="single" w:sz="8" w:space="0" w:color="auto"/>
            </w:tcBorders>
            <w:shd w:val="clear" w:color="auto" w:fill="auto"/>
            <w:noWrap/>
            <w:vAlign w:val="bottom"/>
            <w:hideMark/>
          </w:tcPr>
          <w:p w14:paraId="14EB920F"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Udział ogółem</w:t>
            </w:r>
          </w:p>
        </w:tc>
        <w:tc>
          <w:tcPr>
            <w:tcW w:w="1276" w:type="dxa"/>
            <w:tcBorders>
              <w:top w:val="nil"/>
              <w:left w:val="nil"/>
              <w:bottom w:val="single" w:sz="4" w:space="0" w:color="auto"/>
              <w:right w:val="single" w:sz="4" w:space="0" w:color="auto"/>
            </w:tcBorders>
            <w:shd w:val="clear" w:color="auto" w:fill="auto"/>
            <w:noWrap/>
            <w:vAlign w:val="bottom"/>
            <w:hideMark/>
          </w:tcPr>
          <w:p w14:paraId="2C4EF5A9"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Ogółem</w:t>
            </w:r>
          </w:p>
        </w:tc>
        <w:tc>
          <w:tcPr>
            <w:tcW w:w="1275" w:type="dxa"/>
            <w:tcBorders>
              <w:top w:val="nil"/>
              <w:left w:val="nil"/>
              <w:bottom w:val="single" w:sz="4" w:space="0" w:color="auto"/>
              <w:right w:val="single" w:sz="4" w:space="0" w:color="auto"/>
            </w:tcBorders>
            <w:shd w:val="clear" w:color="auto" w:fill="auto"/>
            <w:noWrap/>
            <w:vAlign w:val="bottom"/>
            <w:hideMark/>
          </w:tcPr>
          <w:p w14:paraId="6C330E50"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Kobiety</w:t>
            </w:r>
          </w:p>
        </w:tc>
        <w:tc>
          <w:tcPr>
            <w:tcW w:w="1418" w:type="dxa"/>
            <w:tcBorders>
              <w:top w:val="nil"/>
              <w:left w:val="nil"/>
              <w:bottom w:val="single" w:sz="4" w:space="0" w:color="auto"/>
              <w:right w:val="single" w:sz="8" w:space="0" w:color="auto"/>
            </w:tcBorders>
            <w:shd w:val="clear" w:color="auto" w:fill="auto"/>
            <w:noWrap/>
            <w:vAlign w:val="bottom"/>
            <w:hideMark/>
          </w:tcPr>
          <w:p w14:paraId="7DB8FC8F"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Udział ogółem</w:t>
            </w:r>
          </w:p>
        </w:tc>
      </w:tr>
      <w:tr w:rsidR="00B0126B" w:rsidRPr="00A83D61" w14:paraId="39C1C5C1" w14:textId="77777777" w:rsidTr="00B0126B">
        <w:trPr>
          <w:trHeight w:val="288"/>
          <w:tblHeader/>
        </w:trPr>
        <w:tc>
          <w:tcPr>
            <w:tcW w:w="2684" w:type="dxa"/>
            <w:tcBorders>
              <w:top w:val="nil"/>
              <w:left w:val="single" w:sz="8" w:space="0" w:color="auto"/>
              <w:bottom w:val="single" w:sz="4" w:space="0" w:color="auto"/>
              <w:right w:val="single" w:sz="8" w:space="0" w:color="auto"/>
            </w:tcBorders>
            <w:shd w:val="clear" w:color="auto" w:fill="auto"/>
            <w:vAlign w:val="center"/>
            <w:hideMark/>
          </w:tcPr>
          <w:p w14:paraId="5DC28C78"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Bezrobotni ogółem</w:t>
            </w:r>
          </w:p>
        </w:tc>
        <w:tc>
          <w:tcPr>
            <w:tcW w:w="1275" w:type="dxa"/>
            <w:tcBorders>
              <w:top w:val="nil"/>
              <w:left w:val="nil"/>
              <w:bottom w:val="single" w:sz="4" w:space="0" w:color="auto"/>
              <w:right w:val="single" w:sz="4" w:space="0" w:color="auto"/>
            </w:tcBorders>
            <w:shd w:val="clear" w:color="auto" w:fill="auto"/>
            <w:noWrap/>
            <w:vAlign w:val="bottom"/>
            <w:hideMark/>
          </w:tcPr>
          <w:p w14:paraId="0B93AE5D"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69166</w:t>
            </w:r>
          </w:p>
        </w:tc>
        <w:tc>
          <w:tcPr>
            <w:tcW w:w="1134" w:type="dxa"/>
            <w:tcBorders>
              <w:top w:val="nil"/>
              <w:left w:val="nil"/>
              <w:bottom w:val="single" w:sz="4" w:space="0" w:color="auto"/>
              <w:right w:val="single" w:sz="4" w:space="0" w:color="auto"/>
            </w:tcBorders>
            <w:shd w:val="clear" w:color="auto" w:fill="auto"/>
            <w:noWrap/>
            <w:vAlign w:val="bottom"/>
            <w:hideMark/>
          </w:tcPr>
          <w:p w14:paraId="3B94E64D"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34147</w:t>
            </w:r>
          </w:p>
        </w:tc>
        <w:tc>
          <w:tcPr>
            <w:tcW w:w="1418" w:type="dxa"/>
            <w:tcBorders>
              <w:top w:val="nil"/>
              <w:left w:val="nil"/>
              <w:bottom w:val="single" w:sz="4" w:space="0" w:color="auto"/>
              <w:right w:val="single" w:sz="8" w:space="0" w:color="auto"/>
            </w:tcBorders>
            <w:shd w:val="clear" w:color="auto" w:fill="auto"/>
            <w:noWrap/>
            <w:vAlign w:val="bottom"/>
            <w:hideMark/>
          </w:tcPr>
          <w:p w14:paraId="5A53DA82"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5DF29274"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67115</w:t>
            </w:r>
          </w:p>
        </w:tc>
        <w:tc>
          <w:tcPr>
            <w:tcW w:w="1275" w:type="dxa"/>
            <w:tcBorders>
              <w:top w:val="nil"/>
              <w:left w:val="nil"/>
              <w:bottom w:val="single" w:sz="4" w:space="0" w:color="auto"/>
              <w:right w:val="single" w:sz="4" w:space="0" w:color="auto"/>
            </w:tcBorders>
            <w:shd w:val="clear" w:color="auto" w:fill="auto"/>
            <w:noWrap/>
            <w:vAlign w:val="center"/>
            <w:hideMark/>
          </w:tcPr>
          <w:p w14:paraId="3DE95531"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33083</w:t>
            </w:r>
          </w:p>
        </w:tc>
        <w:tc>
          <w:tcPr>
            <w:tcW w:w="1418" w:type="dxa"/>
            <w:tcBorders>
              <w:top w:val="nil"/>
              <w:left w:val="nil"/>
              <w:bottom w:val="single" w:sz="4" w:space="0" w:color="auto"/>
              <w:right w:val="single" w:sz="8" w:space="0" w:color="auto"/>
            </w:tcBorders>
            <w:shd w:val="clear" w:color="auto" w:fill="auto"/>
            <w:noWrap/>
            <w:vAlign w:val="center"/>
            <w:hideMark/>
          </w:tcPr>
          <w:p w14:paraId="3B76059A"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100,0%</w:t>
            </w:r>
          </w:p>
        </w:tc>
      </w:tr>
      <w:tr w:rsidR="00B0126B" w:rsidRPr="00A83D61" w14:paraId="3E7DD408" w14:textId="77777777" w:rsidTr="00B0126B">
        <w:trPr>
          <w:trHeight w:val="480"/>
        </w:trPr>
        <w:tc>
          <w:tcPr>
            <w:tcW w:w="2684" w:type="dxa"/>
            <w:tcBorders>
              <w:top w:val="nil"/>
              <w:left w:val="single" w:sz="8" w:space="0" w:color="auto"/>
              <w:bottom w:val="single" w:sz="4" w:space="0" w:color="auto"/>
              <w:right w:val="single" w:sz="8" w:space="0" w:color="auto"/>
            </w:tcBorders>
            <w:shd w:val="clear" w:color="auto" w:fill="auto"/>
            <w:vAlign w:val="center"/>
            <w:hideMark/>
          </w:tcPr>
          <w:p w14:paraId="59CC4AAA"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Bezrobotni, którym przysługuje pierwszeństwo do udziału w formach pomocy</w:t>
            </w:r>
          </w:p>
        </w:tc>
        <w:tc>
          <w:tcPr>
            <w:tcW w:w="1275" w:type="dxa"/>
            <w:tcBorders>
              <w:top w:val="nil"/>
              <w:left w:val="nil"/>
              <w:bottom w:val="single" w:sz="4" w:space="0" w:color="auto"/>
              <w:right w:val="single" w:sz="4" w:space="0" w:color="auto"/>
            </w:tcBorders>
            <w:shd w:val="clear" w:color="auto" w:fill="auto"/>
            <w:vAlign w:val="center"/>
            <w:hideMark/>
          </w:tcPr>
          <w:p w14:paraId="0D593586"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58507</w:t>
            </w:r>
          </w:p>
        </w:tc>
        <w:tc>
          <w:tcPr>
            <w:tcW w:w="1134" w:type="dxa"/>
            <w:tcBorders>
              <w:top w:val="nil"/>
              <w:left w:val="nil"/>
              <w:bottom w:val="single" w:sz="4" w:space="0" w:color="auto"/>
              <w:right w:val="single" w:sz="4" w:space="0" w:color="auto"/>
            </w:tcBorders>
            <w:shd w:val="clear" w:color="auto" w:fill="auto"/>
            <w:vAlign w:val="center"/>
            <w:hideMark/>
          </w:tcPr>
          <w:p w14:paraId="32672062"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29286</w:t>
            </w:r>
          </w:p>
        </w:tc>
        <w:tc>
          <w:tcPr>
            <w:tcW w:w="1418" w:type="dxa"/>
            <w:tcBorders>
              <w:top w:val="nil"/>
              <w:left w:val="nil"/>
              <w:bottom w:val="single" w:sz="4" w:space="0" w:color="auto"/>
              <w:right w:val="single" w:sz="8" w:space="0" w:color="auto"/>
            </w:tcBorders>
            <w:shd w:val="clear" w:color="auto" w:fill="auto"/>
            <w:noWrap/>
            <w:vAlign w:val="center"/>
            <w:hideMark/>
          </w:tcPr>
          <w:p w14:paraId="39522D1D"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84,6%</w:t>
            </w:r>
          </w:p>
        </w:tc>
        <w:tc>
          <w:tcPr>
            <w:tcW w:w="1276" w:type="dxa"/>
            <w:tcBorders>
              <w:top w:val="nil"/>
              <w:left w:val="nil"/>
              <w:bottom w:val="single" w:sz="4" w:space="0" w:color="auto"/>
              <w:right w:val="single" w:sz="4" w:space="0" w:color="auto"/>
            </w:tcBorders>
            <w:shd w:val="clear" w:color="auto" w:fill="auto"/>
            <w:noWrap/>
            <w:vAlign w:val="center"/>
            <w:hideMark/>
          </w:tcPr>
          <w:p w14:paraId="20997F63"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56656</w:t>
            </w:r>
          </w:p>
        </w:tc>
        <w:tc>
          <w:tcPr>
            <w:tcW w:w="1275" w:type="dxa"/>
            <w:tcBorders>
              <w:top w:val="nil"/>
              <w:left w:val="nil"/>
              <w:bottom w:val="single" w:sz="4" w:space="0" w:color="auto"/>
              <w:right w:val="single" w:sz="4" w:space="0" w:color="auto"/>
            </w:tcBorders>
            <w:shd w:val="clear" w:color="auto" w:fill="auto"/>
            <w:noWrap/>
            <w:vAlign w:val="center"/>
            <w:hideMark/>
          </w:tcPr>
          <w:p w14:paraId="3BB8C83D"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28268</w:t>
            </w:r>
          </w:p>
        </w:tc>
        <w:tc>
          <w:tcPr>
            <w:tcW w:w="1418" w:type="dxa"/>
            <w:tcBorders>
              <w:top w:val="nil"/>
              <w:left w:val="nil"/>
              <w:bottom w:val="single" w:sz="4" w:space="0" w:color="auto"/>
              <w:right w:val="single" w:sz="8" w:space="0" w:color="auto"/>
            </w:tcBorders>
            <w:shd w:val="clear" w:color="auto" w:fill="auto"/>
            <w:noWrap/>
            <w:vAlign w:val="center"/>
            <w:hideMark/>
          </w:tcPr>
          <w:p w14:paraId="3AE6ACBE"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84,4%</w:t>
            </w:r>
          </w:p>
        </w:tc>
      </w:tr>
      <w:tr w:rsidR="00B0126B" w:rsidRPr="00A83D61" w14:paraId="315FCB47" w14:textId="77777777" w:rsidTr="00B0126B">
        <w:trPr>
          <w:trHeight w:val="288"/>
        </w:trPr>
        <w:tc>
          <w:tcPr>
            <w:tcW w:w="2684" w:type="dxa"/>
            <w:tcBorders>
              <w:top w:val="nil"/>
              <w:left w:val="single" w:sz="8" w:space="0" w:color="auto"/>
              <w:bottom w:val="single" w:sz="4" w:space="0" w:color="auto"/>
              <w:right w:val="single" w:sz="8" w:space="0" w:color="auto"/>
            </w:tcBorders>
            <w:shd w:val="clear" w:color="auto" w:fill="auto"/>
            <w:noWrap/>
            <w:vAlign w:val="center"/>
            <w:hideMark/>
          </w:tcPr>
          <w:p w14:paraId="7C3C1D08"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do 30-go roku życia</w:t>
            </w:r>
          </w:p>
        </w:tc>
        <w:tc>
          <w:tcPr>
            <w:tcW w:w="1275" w:type="dxa"/>
            <w:tcBorders>
              <w:top w:val="nil"/>
              <w:left w:val="nil"/>
              <w:bottom w:val="single" w:sz="4" w:space="0" w:color="auto"/>
              <w:right w:val="single" w:sz="4" w:space="0" w:color="auto"/>
            </w:tcBorders>
            <w:shd w:val="clear" w:color="auto" w:fill="auto"/>
            <w:noWrap/>
            <w:vAlign w:val="center"/>
            <w:hideMark/>
          </w:tcPr>
          <w:p w14:paraId="2932ABDA"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14 989</w:t>
            </w:r>
          </w:p>
        </w:tc>
        <w:tc>
          <w:tcPr>
            <w:tcW w:w="1134" w:type="dxa"/>
            <w:tcBorders>
              <w:top w:val="nil"/>
              <w:left w:val="nil"/>
              <w:bottom w:val="single" w:sz="4" w:space="0" w:color="auto"/>
              <w:right w:val="single" w:sz="4" w:space="0" w:color="auto"/>
            </w:tcBorders>
            <w:shd w:val="clear" w:color="auto" w:fill="auto"/>
            <w:noWrap/>
            <w:vAlign w:val="center"/>
            <w:hideMark/>
          </w:tcPr>
          <w:p w14:paraId="17F78C0F"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8 450</w:t>
            </w:r>
          </w:p>
        </w:tc>
        <w:tc>
          <w:tcPr>
            <w:tcW w:w="1418" w:type="dxa"/>
            <w:tcBorders>
              <w:top w:val="nil"/>
              <w:left w:val="nil"/>
              <w:bottom w:val="single" w:sz="4" w:space="0" w:color="auto"/>
              <w:right w:val="single" w:sz="8" w:space="0" w:color="auto"/>
            </w:tcBorders>
            <w:shd w:val="clear" w:color="auto" w:fill="auto"/>
            <w:noWrap/>
            <w:vAlign w:val="center"/>
            <w:hideMark/>
          </w:tcPr>
          <w:p w14:paraId="0EC4E854"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21,7%</w:t>
            </w:r>
          </w:p>
        </w:tc>
        <w:tc>
          <w:tcPr>
            <w:tcW w:w="1276" w:type="dxa"/>
            <w:tcBorders>
              <w:top w:val="nil"/>
              <w:left w:val="nil"/>
              <w:bottom w:val="single" w:sz="4" w:space="0" w:color="auto"/>
              <w:right w:val="single" w:sz="4" w:space="0" w:color="auto"/>
            </w:tcBorders>
            <w:shd w:val="clear" w:color="auto" w:fill="auto"/>
            <w:noWrap/>
            <w:vAlign w:val="center"/>
            <w:hideMark/>
          </w:tcPr>
          <w:p w14:paraId="33119FEE"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14322</w:t>
            </w:r>
          </w:p>
        </w:tc>
        <w:tc>
          <w:tcPr>
            <w:tcW w:w="1275" w:type="dxa"/>
            <w:tcBorders>
              <w:top w:val="nil"/>
              <w:left w:val="nil"/>
              <w:bottom w:val="single" w:sz="4" w:space="0" w:color="auto"/>
              <w:right w:val="single" w:sz="4" w:space="0" w:color="auto"/>
            </w:tcBorders>
            <w:shd w:val="clear" w:color="auto" w:fill="auto"/>
            <w:noWrap/>
            <w:vAlign w:val="center"/>
            <w:hideMark/>
          </w:tcPr>
          <w:p w14:paraId="463136E4"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8044</w:t>
            </w:r>
          </w:p>
        </w:tc>
        <w:tc>
          <w:tcPr>
            <w:tcW w:w="1418" w:type="dxa"/>
            <w:tcBorders>
              <w:top w:val="nil"/>
              <w:left w:val="nil"/>
              <w:bottom w:val="single" w:sz="4" w:space="0" w:color="auto"/>
              <w:right w:val="single" w:sz="8" w:space="0" w:color="auto"/>
            </w:tcBorders>
            <w:shd w:val="clear" w:color="auto" w:fill="auto"/>
            <w:noWrap/>
            <w:vAlign w:val="center"/>
            <w:hideMark/>
          </w:tcPr>
          <w:p w14:paraId="6913A2F7"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21,3%</w:t>
            </w:r>
          </w:p>
        </w:tc>
      </w:tr>
      <w:tr w:rsidR="00B0126B" w:rsidRPr="00A83D61" w14:paraId="45527C26" w14:textId="77777777" w:rsidTr="00B0126B">
        <w:trPr>
          <w:trHeight w:val="288"/>
        </w:trPr>
        <w:tc>
          <w:tcPr>
            <w:tcW w:w="2684" w:type="dxa"/>
            <w:tcBorders>
              <w:top w:val="nil"/>
              <w:left w:val="single" w:sz="8" w:space="0" w:color="auto"/>
              <w:bottom w:val="single" w:sz="4" w:space="0" w:color="auto"/>
              <w:right w:val="single" w:sz="8" w:space="0" w:color="auto"/>
            </w:tcBorders>
            <w:shd w:val="clear" w:color="auto" w:fill="auto"/>
            <w:noWrap/>
            <w:vAlign w:val="center"/>
            <w:hideMark/>
          </w:tcPr>
          <w:p w14:paraId="43062BB3"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 xml:space="preserve">w tym do 25-go roku życia </w:t>
            </w:r>
          </w:p>
        </w:tc>
        <w:tc>
          <w:tcPr>
            <w:tcW w:w="1275" w:type="dxa"/>
            <w:tcBorders>
              <w:top w:val="nil"/>
              <w:left w:val="nil"/>
              <w:bottom w:val="single" w:sz="4" w:space="0" w:color="auto"/>
              <w:right w:val="single" w:sz="4" w:space="0" w:color="auto"/>
            </w:tcBorders>
            <w:shd w:val="clear" w:color="auto" w:fill="auto"/>
            <w:noWrap/>
            <w:vAlign w:val="center"/>
            <w:hideMark/>
          </w:tcPr>
          <w:p w14:paraId="5EC741C0"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8 193</w:t>
            </w:r>
          </w:p>
        </w:tc>
        <w:tc>
          <w:tcPr>
            <w:tcW w:w="1134" w:type="dxa"/>
            <w:tcBorders>
              <w:top w:val="nil"/>
              <w:left w:val="nil"/>
              <w:bottom w:val="single" w:sz="4" w:space="0" w:color="auto"/>
              <w:right w:val="single" w:sz="4" w:space="0" w:color="auto"/>
            </w:tcBorders>
            <w:shd w:val="clear" w:color="auto" w:fill="auto"/>
            <w:noWrap/>
            <w:vAlign w:val="center"/>
            <w:hideMark/>
          </w:tcPr>
          <w:p w14:paraId="1D3246C8"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4 327</w:t>
            </w:r>
          </w:p>
        </w:tc>
        <w:tc>
          <w:tcPr>
            <w:tcW w:w="1418" w:type="dxa"/>
            <w:tcBorders>
              <w:top w:val="nil"/>
              <w:left w:val="nil"/>
              <w:bottom w:val="single" w:sz="4" w:space="0" w:color="auto"/>
              <w:right w:val="single" w:sz="8" w:space="0" w:color="auto"/>
            </w:tcBorders>
            <w:shd w:val="clear" w:color="auto" w:fill="auto"/>
            <w:noWrap/>
            <w:vAlign w:val="center"/>
            <w:hideMark/>
          </w:tcPr>
          <w:p w14:paraId="2CD22CF1"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11,8%</w:t>
            </w:r>
          </w:p>
        </w:tc>
        <w:tc>
          <w:tcPr>
            <w:tcW w:w="1276" w:type="dxa"/>
            <w:tcBorders>
              <w:top w:val="nil"/>
              <w:left w:val="nil"/>
              <w:bottom w:val="single" w:sz="4" w:space="0" w:color="auto"/>
              <w:right w:val="single" w:sz="4" w:space="0" w:color="auto"/>
            </w:tcBorders>
            <w:shd w:val="clear" w:color="auto" w:fill="auto"/>
            <w:noWrap/>
            <w:vAlign w:val="center"/>
            <w:hideMark/>
          </w:tcPr>
          <w:p w14:paraId="1612DB91"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7756</w:t>
            </w:r>
          </w:p>
        </w:tc>
        <w:tc>
          <w:tcPr>
            <w:tcW w:w="1275" w:type="dxa"/>
            <w:tcBorders>
              <w:top w:val="nil"/>
              <w:left w:val="nil"/>
              <w:bottom w:val="single" w:sz="4" w:space="0" w:color="auto"/>
              <w:right w:val="single" w:sz="4" w:space="0" w:color="auto"/>
            </w:tcBorders>
            <w:shd w:val="clear" w:color="auto" w:fill="auto"/>
            <w:noWrap/>
            <w:vAlign w:val="center"/>
            <w:hideMark/>
          </w:tcPr>
          <w:p w14:paraId="6C7DFE20"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4068</w:t>
            </w:r>
          </w:p>
        </w:tc>
        <w:tc>
          <w:tcPr>
            <w:tcW w:w="1418" w:type="dxa"/>
            <w:tcBorders>
              <w:top w:val="nil"/>
              <w:left w:val="nil"/>
              <w:bottom w:val="single" w:sz="4" w:space="0" w:color="auto"/>
              <w:right w:val="single" w:sz="8" w:space="0" w:color="auto"/>
            </w:tcBorders>
            <w:shd w:val="clear" w:color="auto" w:fill="auto"/>
            <w:noWrap/>
            <w:vAlign w:val="center"/>
            <w:hideMark/>
          </w:tcPr>
          <w:p w14:paraId="388AF129"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11,6%</w:t>
            </w:r>
          </w:p>
        </w:tc>
      </w:tr>
      <w:tr w:rsidR="00B0126B" w:rsidRPr="00A83D61" w14:paraId="407AFC33" w14:textId="77777777" w:rsidTr="00B0126B">
        <w:trPr>
          <w:trHeight w:val="288"/>
        </w:trPr>
        <w:tc>
          <w:tcPr>
            <w:tcW w:w="2684" w:type="dxa"/>
            <w:tcBorders>
              <w:top w:val="nil"/>
              <w:left w:val="single" w:sz="8" w:space="0" w:color="auto"/>
              <w:bottom w:val="single" w:sz="4" w:space="0" w:color="auto"/>
              <w:right w:val="single" w:sz="8" w:space="0" w:color="auto"/>
            </w:tcBorders>
            <w:shd w:val="clear" w:color="auto" w:fill="auto"/>
            <w:noWrap/>
            <w:vAlign w:val="center"/>
            <w:hideMark/>
          </w:tcPr>
          <w:p w14:paraId="087197DF"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 xml:space="preserve">powyżej 50-go roku życia </w:t>
            </w:r>
          </w:p>
        </w:tc>
        <w:tc>
          <w:tcPr>
            <w:tcW w:w="1275" w:type="dxa"/>
            <w:tcBorders>
              <w:top w:val="nil"/>
              <w:left w:val="nil"/>
              <w:bottom w:val="single" w:sz="4" w:space="0" w:color="auto"/>
              <w:right w:val="single" w:sz="4" w:space="0" w:color="auto"/>
            </w:tcBorders>
            <w:shd w:val="clear" w:color="auto" w:fill="auto"/>
            <w:noWrap/>
            <w:vAlign w:val="center"/>
            <w:hideMark/>
          </w:tcPr>
          <w:p w14:paraId="08DC063B"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19 266</w:t>
            </w:r>
          </w:p>
        </w:tc>
        <w:tc>
          <w:tcPr>
            <w:tcW w:w="1134" w:type="dxa"/>
            <w:tcBorders>
              <w:top w:val="nil"/>
              <w:left w:val="nil"/>
              <w:bottom w:val="single" w:sz="4" w:space="0" w:color="auto"/>
              <w:right w:val="single" w:sz="4" w:space="0" w:color="auto"/>
            </w:tcBorders>
            <w:shd w:val="clear" w:color="auto" w:fill="auto"/>
            <w:noWrap/>
            <w:vAlign w:val="center"/>
            <w:hideMark/>
          </w:tcPr>
          <w:p w14:paraId="7BE7AC18"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6 921</w:t>
            </w:r>
          </w:p>
        </w:tc>
        <w:tc>
          <w:tcPr>
            <w:tcW w:w="1418" w:type="dxa"/>
            <w:tcBorders>
              <w:top w:val="nil"/>
              <w:left w:val="nil"/>
              <w:bottom w:val="single" w:sz="4" w:space="0" w:color="auto"/>
              <w:right w:val="single" w:sz="8" w:space="0" w:color="auto"/>
            </w:tcBorders>
            <w:shd w:val="clear" w:color="auto" w:fill="auto"/>
            <w:noWrap/>
            <w:vAlign w:val="center"/>
            <w:hideMark/>
          </w:tcPr>
          <w:p w14:paraId="01C20A6F"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27,9%</w:t>
            </w:r>
          </w:p>
        </w:tc>
        <w:tc>
          <w:tcPr>
            <w:tcW w:w="1276" w:type="dxa"/>
            <w:tcBorders>
              <w:top w:val="nil"/>
              <w:left w:val="nil"/>
              <w:bottom w:val="single" w:sz="4" w:space="0" w:color="auto"/>
              <w:right w:val="single" w:sz="4" w:space="0" w:color="auto"/>
            </w:tcBorders>
            <w:shd w:val="clear" w:color="auto" w:fill="auto"/>
            <w:noWrap/>
            <w:vAlign w:val="center"/>
            <w:hideMark/>
          </w:tcPr>
          <w:p w14:paraId="0C170597"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18865</w:t>
            </w:r>
          </w:p>
        </w:tc>
        <w:tc>
          <w:tcPr>
            <w:tcW w:w="1275" w:type="dxa"/>
            <w:tcBorders>
              <w:top w:val="nil"/>
              <w:left w:val="nil"/>
              <w:bottom w:val="single" w:sz="4" w:space="0" w:color="auto"/>
              <w:right w:val="single" w:sz="4" w:space="0" w:color="auto"/>
            </w:tcBorders>
            <w:shd w:val="clear" w:color="auto" w:fill="auto"/>
            <w:noWrap/>
            <w:vAlign w:val="center"/>
            <w:hideMark/>
          </w:tcPr>
          <w:p w14:paraId="6A3E2D59"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6734</w:t>
            </w:r>
          </w:p>
        </w:tc>
        <w:tc>
          <w:tcPr>
            <w:tcW w:w="1418" w:type="dxa"/>
            <w:tcBorders>
              <w:top w:val="nil"/>
              <w:left w:val="nil"/>
              <w:bottom w:val="single" w:sz="4" w:space="0" w:color="auto"/>
              <w:right w:val="single" w:sz="8" w:space="0" w:color="auto"/>
            </w:tcBorders>
            <w:shd w:val="clear" w:color="auto" w:fill="auto"/>
            <w:noWrap/>
            <w:vAlign w:val="center"/>
            <w:hideMark/>
          </w:tcPr>
          <w:p w14:paraId="6E5EA8B4"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28,1%</w:t>
            </w:r>
          </w:p>
        </w:tc>
      </w:tr>
      <w:tr w:rsidR="00B0126B" w:rsidRPr="00A83D61" w14:paraId="3226E804" w14:textId="77777777" w:rsidTr="00B0126B">
        <w:trPr>
          <w:trHeight w:val="288"/>
        </w:trPr>
        <w:tc>
          <w:tcPr>
            <w:tcW w:w="2684" w:type="dxa"/>
            <w:tcBorders>
              <w:top w:val="nil"/>
              <w:left w:val="single" w:sz="8" w:space="0" w:color="auto"/>
              <w:bottom w:val="single" w:sz="4" w:space="0" w:color="auto"/>
              <w:right w:val="single" w:sz="8" w:space="0" w:color="auto"/>
            </w:tcBorders>
            <w:shd w:val="clear" w:color="auto" w:fill="auto"/>
            <w:noWrap/>
            <w:vAlign w:val="center"/>
            <w:hideMark/>
          </w:tcPr>
          <w:p w14:paraId="4929FF47"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 xml:space="preserve">długotrwale bezrobotne </w:t>
            </w:r>
          </w:p>
        </w:tc>
        <w:tc>
          <w:tcPr>
            <w:tcW w:w="1275" w:type="dxa"/>
            <w:tcBorders>
              <w:top w:val="nil"/>
              <w:left w:val="nil"/>
              <w:bottom w:val="single" w:sz="4" w:space="0" w:color="auto"/>
              <w:right w:val="single" w:sz="4" w:space="0" w:color="auto"/>
            </w:tcBorders>
            <w:shd w:val="clear" w:color="auto" w:fill="auto"/>
            <w:noWrap/>
            <w:vAlign w:val="center"/>
            <w:hideMark/>
          </w:tcPr>
          <w:p w14:paraId="6B331CF5"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30 670</w:t>
            </w:r>
          </w:p>
        </w:tc>
        <w:tc>
          <w:tcPr>
            <w:tcW w:w="1134" w:type="dxa"/>
            <w:tcBorders>
              <w:top w:val="nil"/>
              <w:left w:val="nil"/>
              <w:bottom w:val="single" w:sz="4" w:space="0" w:color="auto"/>
              <w:right w:val="single" w:sz="4" w:space="0" w:color="auto"/>
            </w:tcBorders>
            <w:shd w:val="clear" w:color="auto" w:fill="auto"/>
            <w:noWrap/>
            <w:vAlign w:val="center"/>
            <w:hideMark/>
          </w:tcPr>
          <w:p w14:paraId="22EADEDD"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15 630</w:t>
            </w:r>
          </w:p>
        </w:tc>
        <w:tc>
          <w:tcPr>
            <w:tcW w:w="1418" w:type="dxa"/>
            <w:tcBorders>
              <w:top w:val="nil"/>
              <w:left w:val="nil"/>
              <w:bottom w:val="single" w:sz="4" w:space="0" w:color="auto"/>
              <w:right w:val="single" w:sz="8" w:space="0" w:color="auto"/>
            </w:tcBorders>
            <w:shd w:val="clear" w:color="auto" w:fill="auto"/>
            <w:noWrap/>
            <w:vAlign w:val="center"/>
            <w:hideMark/>
          </w:tcPr>
          <w:p w14:paraId="27748181"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44,3%</w:t>
            </w:r>
          </w:p>
        </w:tc>
        <w:tc>
          <w:tcPr>
            <w:tcW w:w="1276" w:type="dxa"/>
            <w:tcBorders>
              <w:top w:val="nil"/>
              <w:left w:val="nil"/>
              <w:bottom w:val="single" w:sz="4" w:space="0" w:color="auto"/>
              <w:right w:val="single" w:sz="4" w:space="0" w:color="auto"/>
            </w:tcBorders>
            <w:shd w:val="clear" w:color="auto" w:fill="auto"/>
            <w:noWrap/>
            <w:vAlign w:val="center"/>
            <w:hideMark/>
          </w:tcPr>
          <w:p w14:paraId="3B98F4B3"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29971</w:t>
            </w:r>
          </w:p>
        </w:tc>
        <w:tc>
          <w:tcPr>
            <w:tcW w:w="1275" w:type="dxa"/>
            <w:tcBorders>
              <w:top w:val="nil"/>
              <w:left w:val="nil"/>
              <w:bottom w:val="single" w:sz="4" w:space="0" w:color="auto"/>
              <w:right w:val="single" w:sz="4" w:space="0" w:color="auto"/>
            </w:tcBorders>
            <w:shd w:val="clear" w:color="auto" w:fill="auto"/>
            <w:noWrap/>
            <w:vAlign w:val="center"/>
            <w:hideMark/>
          </w:tcPr>
          <w:p w14:paraId="75F051C3"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15311</w:t>
            </w:r>
          </w:p>
        </w:tc>
        <w:tc>
          <w:tcPr>
            <w:tcW w:w="1418" w:type="dxa"/>
            <w:tcBorders>
              <w:top w:val="nil"/>
              <w:left w:val="nil"/>
              <w:bottom w:val="single" w:sz="4" w:space="0" w:color="auto"/>
              <w:right w:val="single" w:sz="8" w:space="0" w:color="auto"/>
            </w:tcBorders>
            <w:shd w:val="clear" w:color="auto" w:fill="auto"/>
            <w:noWrap/>
            <w:vAlign w:val="center"/>
            <w:hideMark/>
          </w:tcPr>
          <w:p w14:paraId="1F7DA4C5"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44,7%</w:t>
            </w:r>
          </w:p>
        </w:tc>
      </w:tr>
      <w:tr w:rsidR="00B0126B" w:rsidRPr="00A83D61" w14:paraId="15E92790" w14:textId="77777777" w:rsidTr="00B0126B">
        <w:trPr>
          <w:trHeight w:val="288"/>
        </w:trPr>
        <w:tc>
          <w:tcPr>
            <w:tcW w:w="2684" w:type="dxa"/>
            <w:tcBorders>
              <w:top w:val="nil"/>
              <w:left w:val="single" w:sz="8" w:space="0" w:color="auto"/>
              <w:bottom w:val="single" w:sz="4" w:space="0" w:color="auto"/>
              <w:right w:val="single" w:sz="8" w:space="0" w:color="auto"/>
            </w:tcBorders>
            <w:shd w:val="clear" w:color="auto" w:fill="auto"/>
            <w:noWrap/>
            <w:vAlign w:val="center"/>
            <w:hideMark/>
          </w:tcPr>
          <w:p w14:paraId="199FC21D"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bez kwalifikacji zawodowych</w:t>
            </w:r>
          </w:p>
        </w:tc>
        <w:tc>
          <w:tcPr>
            <w:tcW w:w="1275" w:type="dxa"/>
            <w:tcBorders>
              <w:top w:val="nil"/>
              <w:left w:val="nil"/>
              <w:bottom w:val="single" w:sz="4" w:space="0" w:color="auto"/>
              <w:right w:val="single" w:sz="4" w:space="0" w:color="auto"/>
            </w:tcBorders>
            <w:shd w:val="clear" w:color="auto" w:fill="auto"/>
            <w:noWrap/>
            <w:vAlign w:val="center"/>
            <w:hideMark/>
          </w:tcPr>
          <w:p w14:paraId="20E69227"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24 253</w:t>
            </w:r>
          </w:p>
        </w:tc>
        <w:tc>
          <w:tcPr>
            <w:tcW w:w="1134" w:type="dxa"/>
            <w:tcBorders>
              <w:top w:val="nil"/>
              <w:left w:val="nil"/>
              <w:bottom w:val="single" w:sz="4" w:space="0" w:color="auto"/>
              <w:right w:val="single" w:sz="4" w:space="0" w:color="auto"/>
            </w:tcBorders>
            <w:shd w:val="clear" w:color="auto" w:fill="auto"/>
            <w:noWrap/>
            <w:vAlign w:val="center"/>
            <w:hideMark/>
          </w:tcPr>
          <w:p w14:paraId="48819DD0"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12 677</w:t>
            </w:r>
          </w:p>
        </w:tc>
        <w:tc>
          <w:tcPr>
            <w:tcW w:w="1418" w:type="dxa"/>
            <w:tcBorders>
              <w:top w:val="nil"/>
              <w:left w:val="nil"/>
              <w:bottom w:val="single" w:sz="4" w:space="0" w:color="auto"/>
              <w:right w:val="single" w:sz="8" w:space="0" w:color="auto"/>
            </w:tcBorders>
            <w:shd w:val="clear" w:color="auto" w:fill="auto"/>
            <w:noWrap/>
            <w:vAlign w:val="center"/>
            <w:hideMark/>
          </w:tcPr>
          <w:p w14:paraId="2F8FFE85"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35,1%</w:t>
            </w:r>
          </w:p>
        </w:tc>
        <w:tc>
          <w:tcPr>
            <w:tcW w:w="1276" w:type="dxa"/>
            <w:tcBorders>
              <w:top w:val="nil"/>
              <w:left w:val="nil"/>
              <w:bottom w:val="single" w:sz="4" w:space="0" w:color="auto"/>
              <w:right w:val="single" w:sz="4" w:space="0" w:color="auto"/>
            </w:tcBorders>
            <w:shd w:val="clear" w:color="auto" w:fill="auto"/>
            <w:noWrap/>
            <w:vAlign w:val="center"/>
            <w:hideMark/>
          </w:tcPr>
          <w:p w14:paraId="4223F282"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23346</w:t>
            </w:r>
          </w:p>
        </w:tc>
        <w:tc>
          <w:tcPr>
            <w:tcW w:w="1275" w:type="dxa"/>
            <w:tcBorders>
              <w:top w:val="nil"/>
              <w:left w:val="nil"/>
              <w:bottom w:val="single" w:sz="4" w:space="0" w:color="auto"/>
              <w:right w:val="single" w:sz="4" w:space="0" w:color="auto"/>
            </w:tcBorders>
            <w:shd w:val="clear" w:color="auto" w:fill="auto"/>
            <w:noWrap/>
            <w:vAlign w:val="center"/>
            <w:hideMark/>
          </w:tcPr>
          <w:p w14:paraId="781B35EC"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12207</w:t>
            </w:r>
          </w:p>
        </w:tc>
        <w:tc>
          <w:tcPr>
            <w:tcW w:w="1418" w:type="dxa"/>
            <w:tcBorders>
              <w:top w:val="nil"/>
              <w:left w:val="nil"/>
              <w:bottom w:val="single" w:sz="4" w:space="0" w:color="auto"/>
              <w:right w:val="single" w:sz="8" w:space="0" w:color="auto"/>
            </w:tcBorders>
            <w:shd w:val="clear" w:color="auto" w:fill="auto"/>
            <w:noWrap/>
            <w:vAlign w:val="center"/>
            <w:hideMark/>
          </w:tcPr>
          <w:p w14:paraId="46F090A0"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34,8%</w:t>
            </w:r>
          </w:p>
        </w:tc>
      </w:tr>
      <w:tr w:rsidR="00B0126B" w:rsidRPr="00A83D61" w14:paraId="674CE10F" w14:textId="77777777" w:rsidTr="00B0126B">
        <w:trPr>
          <w:trHeight w:val="288"/>
        </w:trPr>
        <w:tc>
          <w:tcPr>
            <w:tcW w:w="2684" w:type="dxa"/>
            <w:tcBorders>
              <w:top w:val="nil"/>
              <w:left w:val="single" w:sz="8" w:space="0" w:color="auto"/>
              <w:bottom w:val="single" w:sz="4" w:space="0" w:color="auto"/>
              <w:right w:val="single" w:sz="8" w:space="0" w:color="auto"/>
            </w:tcBorders>
            <w:shd w:val="clear" w:color="auto" w:fill="auto"/>
            <w:noWrap/>
            <w:vAlign w:val="center"/>
            <w:hideMark/>
          </w:tcPr>
          <w:p w14:paraId="2C9F8632"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 xml:space="preserve">niepełnosprawni </w:t>
            </w:r>
          </w:p>
        </w:tc>
        <w:tc>
          <w:tcPr>
            <w:tcW w:w="1275" w:type="dxa"/>
            <w:tcBorders>
              <w:top w:val="nil"/>
              <w:left w:val="nil"/>
              <w:bottom w:val="single" w:sz="4" w:space="0" w:color="auto"/>
              <w:right w:val="single" w:sz="4" w:space="0" w:color="auto"/>
            </w:tcBorders>
            <w:shd w:val="clear" w:color="auto" w:fill="auto"/>
            <w:noWrap/>
            <w:vAlign w:val="center"/>
            <w:hideMark/>
          </w:tcPr>
          <w:p w14:paraId="7EEBFF8E"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4 663</w:t>
            </w:r>
          </w:p>
        </w:tc>
        <w:tc>
          <w:tcPr>
            <w:tcW w:w="1134" w:type="dxa"/>
            <w:tcBorders>
              <w:top w:val="nil"/>
              <w:left w:val="nil"/>
              <w:bottom w:val="single" w:sz="4" w:space="0" w:color="auto"/>
              <w:right w:val="single" w:sz="4" w:space="0" w:color="auto"/>
            </w:tcBorders>
            <w:shd w:val="clear" w:color="auto" w:fill="auto"/>
            <w:noWrap/>
            <w:vAlign w:val="center"/>
            <w:hideMark/>
          </w:tcPr>
          <w:p w14:paraId="3EB7F128"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2 034</w:t>
            </w:r>
          </w:p>
        </w:tc>
        <w:tc>
          <w:tcPr>
            <w:tcW w:w="1418" w:type="dxa"/>
            <w:tcBorders>
              <w:top w:val="nil"/>
              <w:left w:val="nil"/>
              <w:bottom w:val="single" w:sz="4" w:space="0" w:color="auto"/>
              <w:right w:val="single" w:sz="8" w:space="0" w:color="auto"/>
            </w:tcBorders>
            <w:shd w:val="clear" w:color="auto" w:fill="auto"/>
            <w:noWrap/>
            <w:vAlign w:val="center"/>
            <w:hideMark/>
          </w:tcPr>
          <w:p w14:paraId="31AB6E10"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6,7%</w:t>
            </w:r>
          </w:p>
        </w:tc>
        <w:tc>
          <w:tcPr>
            <w:tcW w:w="1276" w:type="dxa"/>
            <w:tcBorders>
              <w:top w:val="nil"/>
              <w:left w:val="nil"/>
              <w:bottom w:val="single" w:sz="4" w:space="0" w:color="auto"/>
              <w:right w:val="single" w:sz="4" w:space="0" w:color="auto"/>
            </w:tcBorders>
            <w:shd w:val="clear" w:color="auto" w:fill="auto"/>
            <w:noWrap/>
            <w:vAlign w:val="center"/>
            <w:hideMark/>
          </w:tcPr>
          <w:p w14:paraId="18AA302F"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4610</w:t>
            </w:r>
          </w:p>
        </w:tc>
        <w:tc>
          <w:tcPr>
            <w:tcW w:w="1275" w:type="dxa"/>
            <w:tcBorders>
              <w:top w:val="nil"/>
              <w:left w:val="nil"/>
              <w:bottom w:val="single" w:sz="4" w:space="0" w:color="auto"/>
              <w:right w:val="single" w:sz="4" w:space="0" w:color="auto"/>
            </w:tcBorders>
            <w:shd w:val="clear" w:color="auto" w:fill="auto"/>
            <w:noWrap/>
            <w:vAlign w:val="center"/>
            <w:hideMark/>
          </w:tcPr>
          <w:p w14:paraId="540742C8"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1979</w:t>
            </w:r>
          </w:p>
        </w:tc>
        <w:tc>
          <w:tcPr>
            <w:tcW w:w="1418" w:type="dxa"/>
            <w:tcBorders>
              <w:top w:val="nil"/>
              <w:left w:val="nil"/>
              <w:bottom w:val="single" w:sz="4" w:space="0" w:color="auto"/>
              <w:right w:val="single" w:sz="8" w:space="0" w:color="auto"/>
            </w:tcBorders>
            <w:shd w:val="clear" w:color="auto" w:fill="auto"/>
            <w:noWrap/>
            <w:vAlign w:val="center"/>
            <w:hideMark/>
          </w:tcPr>
          <w:p w14:paraId="3599C5FA"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6,9%</w:t>
            </w:r>
          </w:p>
        </w:tc>
      </w:tr>
      <w:tr w:rsidR="00B0126B" w:rsidRPr="00A83D61" w14:paraId="6BA7F932" w14:textId="77777777" w:rsidTr="00B0126B">
        <w:trPr>
          <w:trHeight w:val="288"/>
        </w:trPr>
        <w:tc>
          <w:tcPr>
            <w:tcW w:w="2684" w:type="dxa"/>
            <w:tcBorders>
              <w:top w:val="nil"/>
              <w:left w:val="single" w:sz="8" w:space="0" w:color="auto"/>
              <w:bottom w:val="single" w:sz="4" w:space="0" w:color="auto"/>
              <w:right w:val="single" w:sz="8" w:space="0" w:color="auto"/>
            </w:tcBorders>
            <w:shd w:val="clear" w:color="auto" w:fill="auto"/>
            <w:noWrap/>
            <w:vAlign w:val="center"/>
            <w:hideMark/>
          </w:tcPr>
          <w:p w14:paraId="0B62E31B"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posiadający Kartę Dużej Rodziny</w:t>
            </w:r>
          </w:p>
        </w:tc>
        <w:tc>
          <w:tcPr>
            <w:tcW w:w="1275" w:type="dxa"/>
            <w:tcBorders>
              <w:top w:val="nil"/>
              <w:left w:val="nil"/>
              <w:bottom w:val="single" w:sz="4" w:space="0" w:color="auto"/>
              <w:right w:val="single" w:sz="4" w:space="0" w:color="auto"/>
            </w:tcBorders>
            <w:shd w:val="clear" w:color="auto" w:fill="auto"/>
            <w:noWrap/>
            <w:vAlign w:val="center"/>
            <w:hideMark/>
          </w:tcPr>
          <w:p w14:paraId="6BAF3070"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2 759</w:t>
            </w:r>
          </w:p>
        </w:tc>
        <w:tc>
          <w:tcPr>
            <w:tcW w:w="1134" w:type="dxa"/>
            <w:tcBorders>
              <w:top w:val="nil"/>
              <w:left w:val="nil"/>
              <w:bottom w:val="single" w:sz="4" w:space="0" w:color="auto"/>
              <w:right w:val="single" w:sz="4" w:space="0" w:color="auto"/>
            </w:tcBorders>
            <w:shd w:val="clear" w:color="auto" w:fill="auto"/>
            <w:noWrap/>
            <w:vAlign w:val="center"/>
            <w:hideMark/>
          </w:tcPr>
          <w:p w14:paraId="3AE22A48"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2 028</w:t>
            </w:r>
          </w:p>
        </w:tc>
        <w:tc>
          <w:tcPr>
            <w:tcW w:w="1418" w:type="dxa"/>
            <w:tcBorders>
              <w:top w:val="nil"/>
              <w:left w:val="nil"/>
              <w:bottom w:val="single" w:sz="4" w:space="0" w:color="auto"/>
              <w:right w:val="single" w:sz="8" w:space="0" w:color="auto"/>
            </w:tcBorders>
            <w:shd w:val="clear" w:color="auto" w:fill="auto"/>
            <w:noWrap/>
            <w:vAlign w:val="center"/>
            <w:hideMark/>
          </w:tcPr>
          <w:p w14:paraId="117CCDB9"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4,0%</w:t>
            </w:r>
          </w:p>
        </w:tc>
        <w:tc>
          <w:tcPr>
            <w:tcW w:w="1276" w:type="dxa"/>
            <w:tcBorders>
              <w:top w:val="nil"/>
              <w:left w:val="nil"/>
              <w:bottom w:val="single" w:sz="4" w:space="0" w:color="auto"/>
              <w:right w:val="single" w:sz="4" w:space="0" w:color="auto"/>
            </w:tcBorders>
            <w:shd w:val="clear" w:color="auto" w:fill="auto"/>
            <w:noWrap/>
            <w:vAlign w:val="center"/>
            <w:hideMark/>
          </w:tcPr>
          <w:p w14:paraId="7BECE335"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2478</w:t>
            </w:r>
          </w:p>
        </w:tc>
        <w:tc>
          <w:tcPr>
            <w:tcW w:w="1275" w:type="dxa"/>
            <w:tcBorders>
              <w:top w:val="nil"/>
              <w:left w:val="nil"/>
              <w:bottom w:val="single" w:sz="4" w:space="0" w:color="auto"/>
              <w:right w:val="single" w:sz="4" w:space="0" w:color="auto"/>
            </w:tcBorders>
            <w:shd w:val="clear" w:color="auto" w:fill="auto"/>
            <w:noWrap/>
            <w:vAlign w:val="center"/>
            <w:hideMark/>
          </w:tcPr>
          <w:p w14:paraId="49D56083"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1807</w:t>
            </w:r>
          </w:p>
        </w:tc>
        <w:tc>
          <w:tcPr>
            <w:tcW w:w="1418" w:type="dxa"/>
            <w:tcBorders>
              <w:top w:val="nil"/>
              <w:left w:val="nil"/>
              <w:bottom w:val="single" w:sz="4" w:space="0" w:color="auto"/>
              <w:right w:val="single" w:sz="8" w:space="0" w:color="auto"/>
            </w:tcBorders>
            <w:shd w:val="clear" w:color="auto" w:fill="auto"/>
            <w:noWrap/>
            <w:vAlign w:val="center"/>
            <w:hideMark/>
          </w:tcPr>
          <w:p w14:paraId="19E46FF6"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3,7%</w:t>
            </w:r>
          </w:p>
        </w:tc>
      </w:tr>
      <w:tr w:rsidR="00B0126B" w:rsidRPr="00A83D61" w14:paraId="4377E3CE" w14:textId="77777777" w:rsidTr="00B0126B">
        <w:trPr>
          <w:trHeight w:val="300"/>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260FE249"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samotnie wychowujący co najmniej jedno dziecko</w:t>
            </w:r>
          </w:p>
        </w:tc>
        <w:tc>
          <w:tcPr>
            <w:tcW w:w="1275" w:type="dxa"/>
            <w:tcBorders>
              <w:top w:val="nil"/>
              <w:left w:val="nil"/>
              <w:bottom w:val="single" w:sz="8" w:space="0" w:color="auto"/>
              <w:right w:val="single" w:sz="4" w:space="0" w:color="auto"/>
            </w:tcBorders>
            <w:shd w:val="clear" w:color="auto" w:fill="auto"/>
            <w:noWrap/>
            <w:vAlign w:val="center"/>
            <w:hideMark/>
          </w:tcPr>
          <w:p w14:paraId="4A68CC62"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5 974</w:t>
            </w:r>
          </w:p>
        </w:tc>
        <w:tc>
          <w:tcPr>
            <w:tcW w:w="1134" w:type="dxa"/>
            <w:tcBorders>
              <w:top w:val="nil"/>
              <w:left w:val="nil"/>
              <w:bottom w:val="single" w:sz="8" w:space="0" w:color="auto"/>
              <w:right w:val="single" w:sz="4" w:space="0" w:color="auto"/>
            </w:tcBorders>
            <w:shd w:val="clear" w:color="auto" w:fill="auto"/>
            <w:noWrap/>
            <w:vAlign w:val="center"/>
            <w:hideMark/>
          </w:tcPr>
          <w:p w14:paraId="3175987B"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5 365</w:t>
            </w:r>
          </w:p>
        </w:tc>
        <w:tc>
          <w:tcPr>
            <w:tcW w:w="1418" w:type="dxa"/>
            <w:tcBorders>
              <w:top w:val="nil"/>
              <w:left w:val="nil"/>
              <w:bottom w:val="single" w:sz="8" w:space="0" w:color="auto"/>
              <w:right w:val="single" w:sz="8" w:space="0" w:color="auto"/>
            </w:tcBorders>
            <w:shd w:val="clear" w:color="auto" w:fill="auto"/>
            <w:noWrap/>
            <w:vAlign w:val="center"/>
            <w:hideMark/>
          </w:tcPr>
          <w:p w14:paraId="0767681A"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8,6%</w:t>
            </w:r>
          </w:p>
        </w:tc>
        <w:tc>
          <w:tcPr>
            <w:tcW w:w="1276" w:type="dxa"/>
            <w:tcBorders>
              <w:top w:val="nil"/>
              <w:left w:val="nil"/>
              <w:bottom w:val="single" w:sz="8" w:space="0" w:color="auto"/>
              <w:right w:val="single" w:sz="4" w:space="0" w:color="auto"/>
            </w:tcBorders>
            <w:shd w:val="clear" w:color="auto" w:fill="auto"/>
            <w:noWrap/>
            <w:vAlign w:val="center"/>
            <w:hideMark/>
          </w:tcPr>
          <w:p w14:paraId="25115084"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5838</w:t>
            </w:r>
          </w:p>
        </w:tc>
        <w:tc>
          <w:tcPr>
            <w:tcW w:w="1275" w:type="dxa"/>
            <w:tcBorders>
              <w:top w:val="nil"/>
              <w:left w:val="nil"/>
              <w:bottom w:val="single" w:sz="8" w:space="0" w:color="auto"/>
              <w:right w:val="single" w:sz="4" w:space="0" w:color="auto"/>
            </w:tcBorders>
            <w:shd w:val="clear" w:color="auto" w:fill="auto"/>
            <w:noWrap/>
            <w:vAlign w:val="center"/>
            <w:hideMark/>
          </w:tcPr>
          <w:p w14:paraId="244A8BBB" w14:textId="77777777" w:rsidR="00A83D61" w:rsidRPr="00A83D61" w:rsidRDefault="00A83D61" w:rsidP="00A83D61">
            <w:pPr>
              <w:spacing w:before="0" w:after="0" w:line="240" w:lineRule="auto"/>
              <w:rPr>
                <w:rFonts w:ascii="Calibri" w:eastAsia="Times New Roman" w:hAnsi="Calibri" w:cs="Calibri"/>
                <w:color w:val="000000"/>
                <w:sz w:val="18"/>
                <w:szCs w:val="18"/>
                <w:lang w:eastAsia="pl-PL"/>
              </w:rPr>
            </w:pPr>
            <w:r w:rsidRPr="00A83D61">
              <w:rPr>
                <w:rFonts w:ascii="Calibri" w:eastAsia="Times New Roman" w:hAnsi="Calibri" w:cs="Calibri"/>
                <w:color w:val="000000"/>
                <w:sz w:val="18"/>
                <w:szCs w:val="18"/>
                <w:lang w:eastAsia="pl-PL"/>
              </w:rPr>
              <w:t>5241</w:t>
            </w:r>
          </w:p>
        </w:tc>
        <w:tc>
          <w:tcPr>
            <w:tcW w:w="1418" w:type="dxa"/>
            <w:tcBorders>
              <w:top w:val="nil"/>
              <w:left w:val="nil"/>
              <w:bottom w:val="single" w:sz="8" w:space="0" w:color="auto"/>
              <w:right w:val="single" w:sz="8" w:space="0" w:color="auto"/>
            </w:tcBorders>
            <w:shd w:val="clear" w:color="auto" w:fill="auto"/>
            <w:noWrap/>
            <w:vAlign w:val="center"/>
            <w:hideMark/>
          </w:tcPr>
          <w:p w14:paraId="5ADF4C1D" w14:textId="77777777" w:rsidR="00A83D61" w:rsidRPr="00A83D61" w:rsidRDefault="00A83D61" w:rsidP="00A83D61">
            <w:pPr>
              <w:spacing w:before="0" w:after="0" w:line="240" w:lineRule="auto"/>
              <w:rPr>
                <w:rFonts w:ascii="Calibri" w:eastAsia="Times New Roman" w:hAnsi="Calibri" w:cs="Calibri"/>
                <w:b/>
                <w:bCs/>
                <w:color w:val="000000"/>
                <w:sz w:val="18"/>
                <w:szCs w:val="18"/>
                <w:lang w:eastAsia="pl-PL"/>
              </w:rPr>
            </w:pPr>
            <w:r w:rsidRPr="00A83D61">
              <w:rPr>
                <w:rFonts w:ascii="Calibri" w:eastAsia="Times New Roman" w:hAnsi="Calibri" w:cs="Calibri"/>
                <w:b/>
                <w:bCs/>
                <w:color w:val="000000"/>
                <w:sz w:val="18"/>
                <w:szCs w:val="18"/>
                <w:lang w:eastAsia="pl-PL"/>
              </w:rPr>
              <w:t>8,7%</w:t>
            </w:r>
          </w:p>
        </w:tc>
      </w:tr>
    </w:tbl>
    <w:p w14:paraId="3962CAB5" w14:textId="4A83BB1D" w:rsidR="008E14C3" w:rsidRPr="00865D41" w:rsidRDefault="00FA2D56" w:rsidP="00031AE8">
      <w:pPr>
        <w:pStyle w:val="Nagwek1"/>
      </w:pPr>
      <w:r w:rsidRPr="00865D41">
        <w:t>Napływy i odpływy bezrobotnych</w:t>
      </w:r>
    </w:p>
    <w:p w14:paraId="31061B6B" w14:textId="221B5750" w:rsidR="0012091A" w:rsidRDefault="00C829F0" w:rsidP="00332726">
      <w:r>
        <w:t xml:space="preserve">W </w:t>
      </w:r>
      <w:r w:rsidR="001146E7">
        <w:t>lutym</w:t>
      </w:r>
      <w:r>
        <w:t xml:space="preserve"> 2026</w:t>
      </w:r>
      <w:r w:rsidR="005D4EEF" w:rsidRPr="005D4EEF">
        <w:t xml:space="preserve"> roku w województwie dolnośląskim zarejestrowano </w:t>
      </w:r>
      <w:r w:rsidR="001146E7">
        <w:t xml:space="preserve">7 773 </w:t>
      </w:r>
      <w:r w:rsidR="00C67E0F">
        <w:t>bezrobotnych</w:t>
      </w:r>
      <w:r w:rsidR="005D4EEF" w:rsidRPr="005D4EEF">
        <w:t xml:space="preserve">. Dane te wpisują się w typową dla </w:t>
      </w:r>
      <w:r w:rsidR="00C67E0F">
        <w:t xml:space="preserve">początku </w:t>
      </w:r>
      <w:r w:rsidR="005D4EEF" w:rsidRPr="005D4EEF">
        <w:t>roku sezonową dynamikę rynku pracy</w:t>
      </w:r>
      <w:r w:rsidR="005D4EEF">
        <w:rPr>
          <w:iCs/>
        </w:rPr>
        <w:t xml:space="preserve">. </w:t>
      </w:r>
      <w:r w:rsidR="005D4EEF" w:rsidRPr="005D4EEF">
        <w:t xml:space="preserve">Kobiety stanowiły </w:t>
      </w:r>
      <w:r w:rsidR="00C67E0F">
        <w:t>4</w:t>
      </w:r>
      <w:r w:rsidR="001146E7">
        <w:t>9,9</w:t>
      </w:r>
      <w:r w:rsidR="005D4EEF" w:rsidRPr="005D4EEF">
        <w:t>% ogółu zarejestrowanych, co pozostaje zgodne ze strukturą płci obserwowaną w całej populacji bezrobotnych na Dolnym Śląsku.</w:t>
      </w:r>
      <w:r w:rsidR="005D4EEF">
        <w:rPr>
          <w:iCs/>
        </w:rPr>
        <w:t xml:space="preserve"> </w:t>
      </w:r>
      <w:r w:rsidR="005D4EEF" w:rsidRPr="005D4EEF">
        <w:t>Wśród osób rejestrujących się w PUP dominowali mieszkańcy miast – ich udział sięgnął 6</w:t>
      </w:r>
      <w:r w:rsidR="001146E7">
        <w:t>8,6</w:t>
      </w:r>
      <w:r w:rsidR="005D4EEF" w:rsidRPr="005D4EEF">
        <w:t xml:space="preserve">%. </w:t>
      </w:r>
      <w:r w:rsidR="00397C20">
        <w:t>Kolejno uplasowały się takie grupy bezrobotnych jak: bez kwalifikacji zawodowych (3</w:t>
      </w:r>
      <w:r w:rsidR="001146E7">
        <w:t>6,8</w:t>
      </w:r>
      <w:r w:rsidR="00397C20">
        <w:t>%), do 30 roku życia (3</w:t>
      </w:r>
      <w:r w:rsidR="001146E7">
        <w:t>2,6</w:t>
      </w:r>
      <w:r w:rsidR="00397C20">
        <w:t>%), z prawem do zasiłku (2</w:t>
      </w:r>
      <w:r w:rsidR="001146E7">
        <w:t>6,8</w:t>
      </w:r>
      <w:r w:rsidR="00397C20">
        <w:t xml:space="preserve">%). </w:t>
      </w:r>
    </w:p>
    <w:p w14:paraId="0033B3B0" w14:textId="3CD6C890" w:rsidR="005E2AE1" w:rsidRDefault="005E2AE1" w:rsidP="005E2AE1">
      <w:pPr>
        <w:pStyle w:val="Legenda"/>
      </w:pPr>
      <w:r>
        <w:t xml:space="preserve">Wykres </w:t>
      </w:r>
      <w:r>
        <w:fldChar w:fldCharType="begin"/>
      </w:r>
      <w:r>
        <w:instrText xml:space="preserve"> SEQ Wykres \* ARABIC </w:instrText>
      </w:r>
      <w:r>
        <w:fldChar w:fldCharType="separate"/>
      </w:r>
      <w:r w:rsidR="00440F8F">
        <w:rPr>
          <w:noProof/>
        </w:rPr>
        <w:t>3</w:t>
      </w:r>
      <w:r>
        <w:fldChar w:fldCharType="end"/>
      </w:r>
      <w:r>
        <w:t xml:space="preserve"> </w:t>
      </w:r>
      <w:r w:rsidRPr="00D25F72">
        <w:t>Napływ bezrobotnych w okresie luty 2025 – 2026 w tym zarejestrowanych po raz pierwszy</w:t>
      </w:r>
    </w:p>
    <w:p w14:paraId="60D28BF6" w14:textId="238E5A3F" w:rsidR="005E2AE1" w:rsidRDefault="005E2AE1" w:rsidP="00332726">
      <w:r>
        <w:rPr>
          <w:noProof/>
        </w:rPr>
        <w:drawing>
          <wp:inline distT="0" distB="0" distL="0" distR="0" wp14:anchorId="7DF178C0" wp14:editId="01566DCD">
            <wp:extent cx="5220000" cy="2807769"/>
            <wp:effectExtent l="0" t="0" r="0" b="0"/>
            <wp:docPr id="5" name="Obraz 5" descr="Wykres 3. Napływ bezrobotnych w okresie luty 2025 – 2026 w tym zarejestrowanych po raz pierwszy&#10;Liczba nowozarejestrowanych bezrobotnych w tysiącach: &#10;II 2025 7,6&#10;III 2025 7,8&#10;IV 2025 6,9&#10;V 2025 6,9&#10;VI 2025 6,5&#10;VII 2025 8,1&#10;VIII 2025 7,1&#10;IX 2025 8,8&#10;X 2025 8,4&#10;XI 2025 7,0&#10;XII 2025 6,9&#10;I 2026 8,9&#10;II 2026 7,8&#10;w tym osób zarejestrowanych po raz pierwszy w tysiącach: &#10;II 2025 1,9&#10;III 2025 1,9&#10;IV 2025 1,6&#10;V 2025 1,8&#10;VI 2025 1,6&#10;VII 2025 2,2&#10;VIII 2025 2,8&#10;IX 2025 2,9&#10;X 2025 2,6&#10;XI 2025 1,9&#10;XII 2025 1,6&#10;I 2026 2,2&#10;II 2026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Wykres 3. Napływ bezrobotnych w okresie luty 2025 – 2026 w tym zarejestrowanych po raz pierwszy&#10;Liczba nowozarejestrowanych bezrobotnych w tysiącach: &#10;II 2025 7,6&#10;III 2025 7,8&#10;IV 2025 6,9&#10;V 2025 6,9&#10;VI 2025 6,5&#10;VII 2025 8,1&#10;VIII 2025 7,1&#10;IX 2025 8,8&#10;X 2025 8,4&#10;XI 2025 7,0&#10;XII 2025 6,9&#10;I 2026 8,9&#10;II 2026 7,8&#10;w tym osób zarejestrowanych po raz pierwszy w tysiącach: &#10;II 2025 1,9&#10;III 2025 1,9&#10;IV 2025 1,6&#10;V 2025 1,8&#10;VI 2025 1,6&#10;VII 2025 2,2&#10;VIII 2025 2,8&#10;IX 2025 2,9&#10;X 2025 2,6&#10;XI 2025 1,9&#10;XII 2025 1,6&#10;I 2026 2,2&#10;II 2026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0000" cy="2807769"/>
                    </a:xfrm>
                    <a:prstGeom prst="rect">
                      <a:avLst/>
                    </a:prstGeom>
                    <a:noFill/>
                  </pic:spPr>
                </pic:pic>
              </a:graphicData>
            </a:graphic>
          </wp:inline>
        </w:drawing>
      </w:r>
    </w:p>
    <w:p w14:paraId="4E8A51E2" w14:textId="5A2F5089" w:rsidR="00332726" w:rsidRDefault="00332726" w:rsidP="00332726">
      <w:pPr>
        <w:pStyle w:val="Legenda"/>
      </w:pPr>
      <w:r>
        <w:t xml:space="preserve">Tabela </w:t>
      </w:r>
      <w:r>
        <w:fldChar w:fldCharType="begin"/>
      </w:r>
      <w:r>
        <w:instrText xml:space="preserve"> SEQ Tabela \* ARABIC </w:instrText>
      </w:r>
      <w:r>
        <w:fldChar w:fldCharType="separate"/>
      </w:r>
      <w:r w:rsidR="00440F8F">
        <w:rPr>
          <w:noProof/>
        </w:rPr>
        <w:t>3</w:t>
      </w:r>
      <w:r>
        <w:fldChar w:fldCharType="end"/>
      </w:r>
      <w:r>
        <w:t xml:space="preserve"> </w:t>
      </w:r>
      <w:r w:rsidRPr="00B74361">
        <w:t xml:space="preserve">Bezrobotni zarejestrowani w </w:t>
      </w:r>
      <w:r>
        <w:t>lutym</w:t>
      </w:r>
      <w:r w:rsidRPr="00B74361">
        <w:t xml:space="preserve"> 2026 roku w województwie dolnośląskim</w:t>
      </w:r>
    </w:p>
    <w:tbl>
      <w:tblPr>
        <w:tblW w:w="10194" w:type="dxa"/>
        <w:tblLayout w:type="fixed"/>
        <w:tblCellMar>
          <w:left w:w="70" w:type="dxa"/>
          <w:right w:w="70" w:type="dxa"/>
        </w:tblCellMar>
        <w:tblLook w:val="04A0" w:firstRow="1" w:lastRow="0" w:firstColumn="1" w:lastColumn="0" w:noHBand="0" w:noVBand="1"/>
        <w:tblCaption w:val="Tabela 3 Bezrobotni zarejestrowani w lutym 2026 roku w województwie dolnośląskim"/>
      </w:tblPr>
      <w:tblGrid>
        <w:gridCol w:w="1033"/>
        <w:gridCol w:w="889"/>
        <w:gridCol w:w="734"/>
        <w:gridCol w:w="651"/>
        <w:gridCol w:w="678"/>
        <w:gridCol w:w="972"/>
        <w:gridCol w:w="850"/>
        <w:gridCol w:w="992"/>
        <w:gridCol w:w="1276"/>
        <w:gridCol w:w="1099"/>
        <w:gridCol w:w="1020"/>
      </w:tblGrid>
      <w:tr w:rsidR="00332726" w:rsidRPr="00332726" w14:paraId="353B7637" w14:textId="77777777" w:rsidTr="00332726">
        <w:trPr>
          <w:trHeight w:val="1164"/>
          <w:tblHead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7E1AB"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Napływ bezrobotnych ogółem</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1A793CCF"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Zamieszkali na wsi</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381E82F4"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Z prawem do zasiłku</w:t>
            </w:r>
          </w:p>
        </w:tc>
        <w:tc>
          <w:tcPr>
            <w:tcW w:w="651" w:type="dxa"/>
            <w:tcBorders>
              <w:top w:val="single" w:sz="4" w:space="0" w:color="auto"/>
              <w:left w:val="nil"/>
              <w:bottom w:val="single" w:sz="4" w:space="0" w:color="auto"/>
              <w:right w:val="single" w:sz="4" w:space="0" w:color="auto"/>
            </w:tcBorders>
            <w:shd w:val="clear" w:color="auto" w:fill="auto"/>
            <w:vAlign w:val="center"/>
            <w:hideMark/>
          </w:tcPr>
          <w:p w14:paraId="0592957F"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Do 30 roku życia</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37DEE38"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Do 25 roku życia</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128C650" w14:textId="2F1BC574"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Powyżej 50 roku ż</w:t>
            </w:r>
            <w:r w:rsidR="00B04465">
              <w:rPr>
                <w:rFonts w:ascii="Calibri" w:eastAsia="Times New Roman" w:hAnsi="Calibri" w:cs="Calibri"/>
                <w:b/>
                <w:bCs/>
                <w:color w:val="000000"/>
                <w:sz w:val="18"/>
                <w:szCs w:val="18"/>
                <w:lang w:eastAsia="pl-PL"/>
              </w:rPr>
              <w:t>yci</w:t>
            </w:r>
            <w:r w:rsidRPr="00332726">
              <w:rPr>
                <w:rFonts w:ascii="Calibri" w:eastAsia="Times New Roman" w:hAnsi="Calibri" w:cs="Calibri"/>
                <w:b/>
                <w:bCs/>
                <w:color w:val="000000"/>
                <w:sz w:val="18"/>
                <w:szCs w:val="18"/>
                <w:lang w:eastAsia="pl-PL"/>
              </w:rPr>
              <w:t xml:space="preserve">a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4CE173"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Długotrwale bezrobotni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71D251"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Bez kwalifikacji zawodowych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9E4997" w14:textId="028965FE"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Osoby z niepełnosp</w:t>
            </w:r>
            <w:r>
              <w:rPr>
                <w:rFonts w:ascii="Calibri" w:eastAsia="Times New Roman" w:hAnsi="Calibri" w:cs="Calibri"/>
                <w:b/>
                <w:bCs/>
                <w:color w:val="000000"/>
                <w:sz w:val="18"/>
                <w:szCs w:val="18"/>
                <w:lang w:eastAsia="pl-PL"/>
              </w:rPr>
              <w:t>rawnościami</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2C79E95E"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Posiadający Kartę Dużej Rodziny</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BFA87E0"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Samotnie wychowujący co najmn. 1 dziecko</w:t>
            </w:r>
          </w:p>
        </w:tc>
      </w:tr>
      <w:tr w:rsidR="00332726" w:rsidRPr="00332726" w14:paraId="29B90111" w14:textId="77777777" w:rsidTr="00332726">
        <w:trPr>
          <w:trHeight w:val="276"/>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4532EDA7"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7773</w:t>
            </w:r>
          </w:p>
        </w:tc>
        <w:tc>
          <w:tcPr>
            <w:tcW w:w="889" w:type="dxa"/>
            <w:tcBorders>
              <w:top w:val="nil"/>
              <w:left w:val="nil"/>
              <w:bottom w:val="single" w:sz="4" w:space="0" w:color="auto"/>
              <w:right w:val="single" w:sz="4" w:space="0" w:color="auto"/>
            </w:tcBorders>
            <w:shd w:val="clear" w:color="auto" w:fill="auto"/>
            <w:noWrap/>
            <w:vAlign w:val="bottom"/>
            <w:hideMark/>
          </w:tcPr>
          <w:p w14:paraId="4DD3F90F"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2440</w:t>
            </w:r>
          </w:p>
        </w:tc>
        <w:tc>
          <w:tcPr>
            <w:tcW w:w="734" w:type="dxa"/>
            <w:tcBorders>
              <w:top w:val="nil"/>
              <w:left w:val="nil"/>
              <w:bottom w:val="single" w:sz="4" w:space="0" w:color="auto"/>
              <w:right w:val="single" w:sz="4" w:space="0" w:color="auto"/>
            </w:tcBorders>
            <w:shd w:val="clear" w:color="auto" w:fill="auto"/>
            <w:noWrap/>
            <w:vAlign w:val="bottom"/>
            <w:hideMark/>
          </w:tcPr>
          <w:p w14:paraId="580682AC"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2085</w:t>
            </w:r>
          </w:p>
        </w:tc>
        <w:tc>
          <w:tcPr>
            <w:tcW w:w="651" w:type="dxa"/>
            <w:tcBorders>
              <w:top w:val="nil"/>
              <w:left w:val="nil"/>
              <w:bottom w:val="single" w:sz="4" w:space="0" w:color="auto"/>
              <w:right w:val="single" w:sz="4" w:space="0" w:color="auto"/>
            </w:tcBorders>
            <w:shd w:val="clear" w:color="auto" w:fill="auto"/>
            <w:noWrap/>
            <w:vAlign w:val="bottom"/>
            <w:hideMark/>
          </w:tcPr>
          <w:p w14:paraId="0CCFF29B"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2531</w:t>
            </w:r>
          </w:p>
        </w:tc>
        <w:tc>
          <w:tcPr>
            <w:tcW w:w="678" w:type="dxa"/>
            <w:tcBorders>
              <w:top w:val="nil"/>
              <w:left w:val="nil"/>
              <w:bottom w:val="single" w:sz="4" w:space="0" w:color="auto"/>
              <w:right w:val="single" w:sz="4" w:space="0" w:color="auto"/>
            </w:tcBorders>
            <w:shd w:val="clear" w:color="auto" w:fill="auto"/>
            <w:noWrap/>
            <w:vAlign w:val="bottom"/>
            <w:hideMark/>
          </w:tcPr>
          <w:p w14:paraId="209AC9ED"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1509</w:t>
            </w:r>
          </w:p>
        </w:tc>
        <w:tc>
          <w:tcPr>
            <w:tcW w:w="972" w:type="dxa"/>
            <w:tcBorders>
              <w:top w:val="nil"/>
              <w:left w:val="nil"/>
              <w:bottom w:val="single" w:sz="4" w:space="0" w:color="auto"/>
              <w:right w:val="single" w:sz="4" w:space="0" w:color="auto"/>
            </w:tcBorders>
            <w:shd w:val="clear" w:color="auto" w:fill="auto"/>
            <w:noWrap/>
            <w:vAlign w:val="bottom"/>
            <w:hideMark/>
          </w:tcPr>
          <w:p w14:paraId="6D41439D"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1568</w:t>
            </w:r>
          </w:p>
        </w:tc>
        <w:tc>
          <w:tcPr>
            <w:tcW w:w="850" w:type="dxa"/>
            <w:tcBorders>
              <w:top w:val="nil"/>
              <w:left w:val="nil"/>
              <w:bottom w:val="single" w:sz="4" w:space="0" w:color="auto"/>
              <w:right w:val="single" w:sz="4" w:space="0" w:color="auto"/>
            </w:tcBorders>
            <w:shd w:val="clear" w:color="auto" w:fill="auto"/>
            <w:noWrap/>
            <w:vAlign w:val="bottom"/>
            <w:hideMark/>
          </w:tcPr>
          <w:p w14:paraId="7BCBD8EA"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1980</w:t>
            </w:r>
          </w:p>
        </w:tc>
        <w:tc>
          <w:tcPr>
            <w:tcW w:w="992" w:type="dxa"/>
            <w:tcBorders>
              <w:top w:val="nil"/>
              <w:left w:val="nil"/>
              <w:bottom w:val="single" w:sz="4" w:space="0" w:color="auto"/>
              <w:right w:val="single" w:sz="4" w:space="0" w:color="auto"/>
            </w:tcBorders>
            <w:shd w:val="clear" w:color="auto" w:fill="auto"/>
            <w:noWrap/>
            <w:vAlign w:val="bottom"/>
            <w:hideMark/>
          </w:tcPr>
          <w:p w14:paraId="564D8503"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2862</w:t>
            </w:r>
          </w:p>
        </w:tc>
        <w:tc>
          <w:tcPr>
            <w:tcW w:w="1276" w:type="dxa"/>
            <w:tcBorders>
              <w:top w:val="nil"/>
              <w:left w:val="nil"/>
              <w:bottom w:val="single" w:sz="4" w:space="0" w:color="auto"/>
              <w:right w:val="single" w:sz="4" w:space="0" w:color="auto"/>
            </w:tcBorders>
            <w:shd w:val="clear" w:color="auto" w:fill="auto"/>
            <w:noWrap/>
            <w:vAlign w:val="bottom"/>
            <w:hideMark/>
          </w:tcPr>
          <w:p w14:paraId="76F4B59A"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475</w:t>
            </w:r>
          </w:p>
        </w:tc>
        <w:tc>
          <w:tcPr>
            <w:tcW w:w="1099" w:type="dxa"/>
            <w:tcBorders>
              <w:top w:val="nil"/>
              <w:left w:val="nil"/>
              <w:bottom w:val="single" w:sz="4" w:space="0" w:color="auto"/>
              <w:right w:val="single" w:sz="4" w:space="0" w:color="auto"/>
            </w:tcBorders>
            <w:shd w:val="clear" w:color="auto" w:fill="auto"/>
            <w:noWrap/>
            <w:vAlign w:val="bottom"/>
            <w:hideMark/>
          </w:tcPr>
          <w:p w14:paraId="24E7DC45"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500</w:t>
            </w:r>
          </w:p>
        </w:tc>
        <w:tc>
          <w:tcPr>
            <w:tcW w:w="1020" w:type="dxa"/>
            <w:tcBorders>
              <w:top w:val="nil"/>
              <w:left w:val="nil"/>
              <w:bottom w:val="single" w:sz="4" w:space="0" w:color="auto"/>
              <w:right w:val="single" w:sz="4" w:space="0" w:color="auto"/>
            </w:tcBorders>
            <w:shd w:val="clear" w:color="auto" w:fill="auto"/>
            <w:noWrap/>
            <w:vAlign w:val="bottom"/>
            <w:hideMark/>
          </w:tcPr>
          <w:p w14:paraId="6DF9F857"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505</w:t>
            </w:r>
          </w:p>
        </w:tc>
      </w:tr>
    </w:tbl>
    <w:p w14:paraId="7B3C2BDB" w14:textId="2D3A8F8B" w:rsidR="005E2AE1" w:rsidRPr="005E2AE1" w:rsidRDefault="00A474D5" w:rsidP="005E2AE1">
      <w:r>
        <w:lastRenderedPageBreak/>
        <w:t xml:space="preserve">W okresie sprawozdawczym </w:t>
      </w:r>
      <w:r w:rsidR="005E2AE1" w:rsidRPr="005E2AE1">
        <w:t>z rejestrów bezrobotnych prowadzonych przez powiatowe urzędy pracy województwa dolnośląskiego wyrejestrowano łącznie 5 722 osoby, przy czym kobiety stanowiły blisko połowę tej populacji. Dominującą przyczyną odpływu z bezrobocia pozostawało podjęcie zatrudnienia, co jest zgodne z ogólnokrajową strukturą wyrejestrowań prezentowaną w statystykach Głównego Urzędu Statystycznego.</w:t>
      </w:r>
    </w:p>
    <w:p w14:paraId="4E6B7601" w14:textId="77777777" w:rsidR="005E2AE1" w:rsidRPr="005E2AE1" w:rsidRDefault="005E2AE1" w:rsidP="005E2AE1">
      <w:r w:rsidRPr="005E2AE1">
        <w:t>W analizowanym okresie pracę podjęło 3 750 osób, co odpowiadało 65,5% wszystkich wyłączeń z ewidencji. Wśród bezrobotnych podejmujących zatrudnienie kobiety stanowiły 52,9%, a ich udział był zbliżony do udziału kobiet w ogólnej liczbie osób opuszczających rejestry urzędów pracy.</w:t>
      </w:r>
    </w:p>
    <w:p w14:paraId="0B9AF18A" w14:textId="77777777" w:rsidR="005E2AE1" w:rsidRPr="005E2AE1" w:rsidRDefault="005E2AE1" w:rsidP="005E2AE1">
      <w:r w:rsidRPr="005E2AE1">
        <w:t>Istotną grupę wyrejestrowań stanowiły również przypadki wynikające z braku potwierdzenia gotowości do współpracy z powiatowym urzędem pracy w wymaganym terminie, tj. co najmniej raz na 90 dni. Przyczyna ta dotyczyła 602 osób i jest bezpośrednią konsekwencją obowiązujących przepisów, zgodnie z którymi niespełnienie tego obowiązku skutkuje utratą statusu bezrobotnego.</w:t>
      </w:r>
    </w:p>
    <w:p w14:paraId="1C2347CE" w14:textId="199FE6EA" w:rsidR="005E2AE1" w:rsidRDefault="005E2AE1" w:rsidP="005E2AE1">
      <w:pPr>
        <w:rPr>
          <w:iCs/>
        </w:rPr>
      </w:pPr>
      <w:r w:rsidRPr="005E2AE1">
        <w:t>Ponadto 367 osób dobrowolnie zrezygnowało ze statusu osoby bezrobotnej. Znaczący był także udział kategorii „inne”, obejmującej 499 wyrejestrowań, która ma charakter zbiorczy i odnosi się m.in. zmiany statusu zawodowego lub zdarzeń administracyjnych nieuwzględnionych w podstawowych przyczynach odpływu z bezrobocia.</w:t>
      </w:r>
    </w:p>
    <w:p w14:paraId="46F85374" w14:textId="69D4437F" w:rsidR="00332726" w:rsidRPr="005E2AE1" w:rsidRDefault="00332726" w:rsidP="005E2AE1">
      <w:pPr>
        <w:pStyle w:val="Legenda"/>
      </w:pPr>
      <w:r w:rsidRPr="005E2AE1">
        <w:t xml:space="preserve">Tabela </w:t>
      </w:r>
      <w:r w:rsidRPr="005E2AE1">
        <w:fldChar w:fldCharType="begin"/>
      </w:r>
      <w:r w:rsidRPr="005E2AE1">
        <w:instrText xml:space="preserve"> SEQ Tabela \* ARABIC </w:instrText>
      </w:r>
      <w:r w:rsidRPr="005E2AE1">
        <w:fldChar w:fldCharType="separate"/>
      </w:r>
      <w:r w:rsidR="00440F8F">
        <w:rPr>
          <w:noProof/>
        </w:rPr>
        <w:t>4</w:t>
      </w:r>
      <w:r w:rsidRPr="005E2AE1">
        <w:fldChar w:fldCharType="end"/>
      </w:r>
      <w:r w:rsidRPr="005E2AE1">
        <w:t xml:space="preserve"> Bezrobotni wyłączeniu z rejestru bezrobotnych w lutym 2026 roku w województwie dolnośląskim</w:t>
      </w:r>
    </w:p>
    <w:tbl>
      <w:tblPr>
        <w:tblW w:w="10194" w:type="dxa"/>
        <w:tblLayout w:type="fixed"/>
        <w:tblCellMar>
          <w:left w:w="70" w:type="dxa"/>
          <w:right w:w="70" w:type="dxa"/>
        </w:tblCellMar>
        <w:tblLook w:val="04A0" w:firstRow="1" w:lastRow="0" w:firstColumn="1" w:lastColumn="0" w:noHBand="0" w:noVBand="1"/>
        <w:tblCaption w:val="Tabela 4 Bezrobotni wyłączeniu z rejestru bezrobotnych w lutym 2026 roku w województwie dolnośląskim"/>
      </w:tblPr>
      <w:tblGrid>
        <w:gridCol w:w="1057"/>
        <w:gridCol w:w="909"/>
        <w:gridCol w:w="693"/>
        <w:gridCol w:w="716"/>
        <w:gridCol w:w="466"/>
        <w:gridCol w:w="265"/>
        <w:gridCol w:w="428"/>
        <w:gridCol w:w="423"/>
        <w:gridCol w:w="539"/>
        <w:gridCol w:w="169"/>
        <w:gridCol w:w="993"/>
        <w:gridCol w:w="1134"/>
        <w:gridCol w:w="1134"/>
        <w:gridCol w:w="1268"/>
      </w:tblGrid>
      <w:tr w:rsidR="00332726" w:rsidRPr="00332726" w14:paraId="17EF9415" w14:textId="77777777" w:rsidTr="00332726">
        <w:trPr>
          <w:trHeight w:val="1500"/>
          <w:tblHeader/>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DF667"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Odpływ bezrobotnych ogółem</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1142B2F3"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Zamieszkali na wsi</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46D7CC79"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Z prawem do zasiłku</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5FCC20A3"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Do 30 roku życia</w:t>
            </w:r>
          </w:p>
        </w:tc>
        <w:tc>
          <w:tcPr>
            <w:tcW w:w="731" w:type="dxa"/>
            <w:gridSpan w:val="2"/>
            <w:tcBorders>
              <w:top w:val="single" w:sz="4" w:space="0" w:color="auto"/>
              <w:left w:val="nil"/>
              <w:bottom w:val="single" w:sz="4" w:space="0" w:color="auto"/>
              <w:right w:val="single" w:sz="4" w:space="0" w:color="auto"/>
            </w:tcBorders>
            <w:shd w:val="clear" w:color="auto" w:fill="auto"/>
            <w:vAlign w:val="center"/>
            <w:hideMark/>
          </w:tcPr>
          <w:p w14:paraId="350CEF86"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Do 25 roku życia</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4C4DA725" w14:textId="27C1FB8E"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Powyżej 50 roku ż</w:t>
            </w:r>
            <w:r w:rsidR="00B04465">
              <w:rPr>
                <w:rFonts w:ascii="Calibri" w:eastAsia="Times New Roman" w:hAnsi="Calibri" w:cs="Calibri"/>
                <w:b/>
                <w:bCs/>
                <w:color w:val="000000"/>
                <w:sz w:val="18"/>
                <w:szCs w:val="18"/>
                <w:lang w:eastAsia="pl-PL"/>
              </w:rPr>
              <w:t>yci</w:t>
            </w:r>
            <w:r w:rsidRPr="00332726">
              <w:rPr>
                <w:rFonts w:ascii="Calibri" w:eastAsia="Times New Roman" w:hAnsi="Calibri" w:cs="Calibri"/>
                <w:b/>
                <w:bCs/>
                <w:color w:val="000000"/>
                <w:sz w:val="18"/>
                <w:szCs w:val="18"/>
                <w:lang w:eastAsia="pl-PL"/>
              </w:rPr>
              <w:t xml:space="preserve">a </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5A120A82"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Długotrwale bezrobotni</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12A15CA"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Bez kwalifikacji zawodowych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92A3D3"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Osoby z niepełnosprawnościami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A3AD66"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Posiadający Kartę Dużej Rodziny</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5C3FD587" w14:textId="77777777" w:rsidR="00332726" w:rsidRPr="00332726" w:rsidRDefault="00332726" w:rsidP="00332726">
            <w:pPr>
              <w:spacing w:before="0" w:after="0" w:line="240" w:lineRule="auto"/>
              <w:rPr>
                <w:rFonts w:ascii="Calibri" w:eastAsia="Times New Roman" w:hAnsi="Calibri" w:cs="Calibri"/>
                <w:b/>
                <w:bCs/>
                <w:color w:val="000000"/>
                <w:sz w:val="18"/>
                <w:szCs w:val="18"/>
                <w:lang w:eastAsia="pl-PL"/>
              </w:rPr>
            </w:pPr>
            <w:r w:rsidRPr="00332726">
              <w:rPr>
                <w:rFonts w:ascii="Calibri" w:eastAsia="Times New Roman" w:hAnsi="Calibri" w:cs="Calibri"/>
                <w:b/>
                <w:bCs/>
                <w:color w:val="000000"/>
                <w:sz w:val="18"/>
                <w:szCs w:val="18"/>
                <w:lang w:eastAsia="pl-PL"/>
              </w:rPr>
              <w:t>Samotnie wychowujący co najmn. 1 dziecko</w:t>
            </w:r>
          </w:p>
        </w:tc>
      </w:tr>
      <w:tr w:rsidR="00332726" w:rsidRPr="00332726" w14:paraId="61447B7D" w14:textId="77777777" w:rsidTr="00332726">
        <w:trPr>
          <w:trHeight w:val="276"/>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5D10B3A8"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5722</w:t>
            </w:r>
          </w:p>
        </w:tc>
        <w:tc>
          <w:tcPr>
            <w:tcW w:w="909" w:type="dxa"/>
            <w:tcBorders>
              <w:top w:val="nil"/>
              <w:left w:val="nil"/>
              <w:bottom w:val="single" w:sz="4" w:space="0" w:color="auto"/>
              <w:right w:val="single" w:sz="4" w:space="0" w:color="auto"/>
            </w:tcBorders>
            <w:shd w:val="clear" w:color="auto" w:fill="auto"/>
            <w:noWrap/>
            <w:vAlign w:val="bottom"/>
            <w:hideMark/>
          </w:tcPr>
          <w:p w14:paraId="64C91F8D"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1874</w:t>
            </w:r>
          </w:p>
        </w:tc>
        <w:tc>
          <w:tcPr>
            <w:tcW w:w="693" w:type="dxa"/>
            <w:tcBorders>
              <w:top w:val="nil"/>
              <w:left w:val="nil"/>
              <w:bottom w:val="single" w:sz="4" w:space="0" w:color="auto"/>
              <w:right w:val="single" w:sz="4" w:space="0" w:color="auto"/>
            </w:tcBorders>
            <w:shd w:val="clear" w:color="auto" w:fill="auto"/>
            <w:noWrap/>
            <w:vAlign w:val="bottom"/>
            <w:hideMark/>
          </w:tcPr>
          <w:p w14:paraId="12CC572A"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1097</w:t>
            </w:r>
          </w:p>
        </w:tc>
        <w:tc>
          <w:tcPr>
            <w:tcW w:w="716" w:type="dxa"/>
            <w:tcBorders>
              <w:top w:val="nil"/>
              <w:left w:val="nil"/>
              <w:bottom w:val="single" w:sz="4" w:space="0" w:color="auto"/>
              <w:right w:val="single" w:sz="4" w:space="0" w:color="auto"/>
            </w:tcBorders>
            <w:shd w:val="clear" w:color="auto" w:fill="auto"/>
            <w:noWrap/>
            <w:vAlign w:val="bottom"/>
            <w:hideMark/>
          </w:tcPr>
          <w:p w14:paraId="4438B229"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1765</w:t>
            </w:r>
          </w:p>
        </w:tc>
        <w:tc>
          <w:tcPr>
            <w:tcW w:w="466" w:type="dxa"/>
            <w:tcBorders>
              <w:top w:val="nil"/>
              <w:left w:val="nil"/>
              <w:bottom w:val="single" w:sz="4" w:space="0" w:color="auto"/>
              <w:right w:val="single" w:sz="4" w:space="0" w:color="auto"/>
            </w:tcBorders>
            <w:shd w:val="clear" w:color="auto" w:fill="auto"/>
            <w:noWrap/>
            <w:vAlign w:val="bottom"/>
            <w:hideMark/>
          </w:tcPr>
          <w:p w14:paraId="4E17A8CF"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972</w:t>
            </w:r>
          </w:p>
        </w:tc>
        <w:tc>
          <w:tcPr>
            <w:tcW w:w="693" w:type="dxa"/>
            <w:gridSpan w:val="2"/>
            <w:tcBorders>
              <w:top w:val="nil"/>
              <w:left w:val="nil"/>
              <w:bottom w:val="single" w:sz="4" w:space="0" w:color="auto"/>
              <w:right w:val="single" w:sz="4" w:space="0" w:color="auto"/>
            </w:tcBorders>
            <w:shd w:val="clear" w:color="auto" w:fill="auto"/>
            <w:noWrap/>
            <w:vAlign w:val="bottom"/>
            <w:hideMark/>
          </w:tcPr>
          <w:p w14:paraId="7CB3E5D6"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1167</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1C853E60"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1281</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EB6B7A0"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1925</w:t>
            </w:r>
          </w:p>
        </w:tc>
        <w:tc>
          <w:tcPr>
            <w:tcW w:w="1134" w:type="dxa"/>
            <w:tcBorders>
              <w:top w:val="nil"/>
              <w:left w:val="nil"/>
              <w:bottom w:val="single" w:sz="4" w:space="0" w:color="auto"/>
              <w:right w:val="single" w:sz="4" w:space="0" w:color="auto"/>
            </w:tcBorders>
            <w:shd w:val="clear" w:color="auto" w:fill="auto"/>
            <w:noWrap/>
            <w:vAlign w:val="bottom"/>
            <w:hideMark/>
          </w:tcPr>
          <w:p w14:paraId="02AF4B4C"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346</w:t>
            </w:r>
          </w:p>
        </w:tc>
        <w:tc>
          <w:tcPr>
            <w:tcW w:w="1134" w:type="dxa"/>
            <w:tcBorders>
              <w:top w:val="nil"/>
              <w:left w:val="nil"/>
              <w:bottom w:val="single" w:sz="4" w:space="0" w:color="auto"/>
              <w:right w:val="single" w:sz="4" w:space="0" w:color="auto"/>
            </w:tcBorders>
            <w:shd w:val="clear" w:color="auto" w:fill="auto"/>
            <w:noWrap/>
            <w:vAlign w:val="bottom"/>
            <w:hideMark/>
          </w:tcPr>
          <w:p w14:paraId="19E851BE"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219</w:t>
            </w:r>
          </w:p>
        </w:tc>
        <w:tc>
          <w:tcPr>
            <w:tcW w:w="1268" w:type="dxa"/>
            <w:tcBorders>
              <w:top w:val="nil"/>
              <w:left w:val="nil"/>
              <w:bottom w:val="single" w:sz="4" w:space="0" w:color="auto"/>
              <w:right w:val="single" w:sz="4" w:space="0" w:color="auto"/>
            </w:tcBorders>
            <w:shd w:val="clear" w:color="auto" w:fill="auto"/>
            <w:noWrap/>
            <w:vAlign w:val="bottom"/>
            <w:hideMark/>
          </w:tcPr>
          <w:p w14:paraId="0094A32C" w14:textId="77777777" w:rsidR="00332726" w:rsidRPr="00332726" w:rsidRDefault="00332726" w:rsidP="00332726">
            <w:pPr>
              <w:spacing w:before="0" w:after="0" w:line="240" w:lineRule="auto"/>
              <w:rPr>
                <w:rFonts w:ascii="Calibri" w:eastAsia="Times New Roman" w:hAnsi="Calibri" w:cs="Calibri"/>
                <w:color w:val="000000"/>
                <w:sz w:val="18"/>
                <w:szCs w:val="18"/>
                <w:lang w:eastAsia="pl-PL"/>
              </w:rPr>
            </w:pPr>
            <w:r w:rsidRPr="00332726">
              <w:rPr>
                <w:rFonts w:ascii="Calibri" w:eastAsia="Times New Roman" w:hAnsi="Calibri" w:cs="Calibri"/>
                <w:color w:val="000000"/>
                <w:sz w:val="18"/>
                <w:szCs w:val="18"/>
                <w:lang w:eastAsia="pl-PL"/>
              </w:rPr>
              <w:t>369</w:t>
            </w:r>
          </w:p>
        </w:tc>
      </w:tr>
    </w:tbl>
    <w:p w14:paraId="7594432F" w14:textId="50810D0E" w:rsidR="00332726" w:rsidRDefault="00332726" w:rsidP="00332726">
      <w:pPr>
        <w:pStyle w:val="Legenda"/>
      </w:pPr>
      <w:r>
        <w:t xml:space="preserve">Wykres </w:t>
      </w:r>
      <w:r>
        <w:fldChar w:fldCharType="begin"/>
      </w:r>
      <w:r>
        <w:instrText xml:space="preserve"> SEQ Wykres \* ARABIC </w:instrText>
      </w:r>
      <w:r>
        <w:fldChar w:fldCharType="separate"/>
      </w:r>
      <w:r w:rsidR="00440F8F">
        <w:rPr>
          <w:noProof/>
        </w:rPr>
        <w:t>4</w:t>
      </w:r>
      <w:r>
        <w:fldChar w:fldCharType="end"/>
      </w:r>
      <w:r w:rsidRPr="004D013B">
        <w:t xml:space="preserve"> Odpływ bezrobotnych ogółem, w  tym z tytułu podjęcia prawy w okresie </w:t>
      </w:r>
      <w:r>
        <w:t>luty</w:t>
      </w:r>
      <w:r w:rsidRPr="004D013B">
        <w:t xml:space="preserve"> 2025 – 2026</w:t>
      </w:r>
    </w:p>
    <w:p w14:paraId="74563041" w14:textId="28EC95C0" w:rsidR="008233D4" w:rsidRDefault="00332726" w:rsidP="00A006AF">
      <w:r>
        <w:rPr>
          <w:noProof/>
        </w:rPr>
        <w:drawing>
          <wp:inline distT="0" distB="0" distL="0" distR="0" wp14:anchorId="593357A5" wp14:editId="24581532">
            <wp:extent cx="5220000" cy="2855166"/>
            <wp:effectExtent l="0" t="0" r="0" b="2540"/>
            <wp:docPr id="12" name="Obraz 12" descr="Wykres 4. Odpływ  bezrobotnych w okresie luty 2025 – 2026 w tym zarejestrowanych po raz pierwszy&#10;Liczba  bezrobotnych wyłączonych z ewidencji w tysiącach: &#10;II 2025 6,7&#10;III 2025 8,3&#10;IV 2025 8,9&#10;V 2025 8,2&#10;VI 2025 5,1&#10;VII 2025 5,3&#10;VIII 2025 5,2&#10;IX 2025 8,2&#10;X 2025 8,7&#10;XI 2025 6,6&#10;XII 2025 5,8&#10;I 2026 5,5&#10;II 2026 5,7&#10;Podjęcia pracy w tysiącach:&#10;II 2025 3,7&#10;III 2025 4,4&#10;IV 2025 4,8&#10;V 2025 4,5&#10;VI 2025 3,5&#10;VII 2025 3,8&#10;VIII 2025 3,7&#10;IX 2025 5,7&#10;X 2025  5,4&#10;XI 2025 4,4&#10;XII 2025 3,7&#10;I 2026 3,5&#10;II 2026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Wykres 4. Odpływ  bezrobotnych w okresie luty 2025 – 2026 w tym zarejestrowanych po raz pierwszy&#10;Liczba  bezrobotnych wyłączonych z ewidencji w tysiącach: &#10;II 2025 6,7&#10;III 2025 8,3&#10;IV 2025 8,9&#10;V 2025 8,2&#10;VI 2025 5,1&#10;VII 2025 5,3&#10;VIII 2025 5,2&#10;IX 2025 8,2&#10;X 2025 8,7&#10;XI 2025 6,6&#10;XII 2025 5,8&#10;I 2026 5,5&#10;II 2026 5,7&#10;Podjęcia pracy w tysiącach:&#10;II 2025 3,7&#10;III 2025 4,4&#10;IV 2025 4,8&#10;V 2025 4,5&#10;VI 2025 3,5&#10;VII 2025 3,8&#10;VIII 2025 3,7&#10;IX 2025 5,7&#10;X 2025  5,4&#10;XI 2025 4,4&#10;XII 2025 3,7&#10;I 2026 3,5&#10;II 2026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0000" cy="2855166"/>
                    </a:xfrm>
                    <a:prstGeom prst="rect">
                      <a:avLst/>
                    </a:prstGeom>
                    <a:noFill/>
                  </pic:spPr>
                </pic:pic>
              </a:graphicData>
            </a:graphic>
          </wp:inline>
        </w:drawing>
      </w:r>
    </w:p>
    <w:p w14:paraId="29861BAF" w14:textId="77777777" w:rsidR="005D24D0" w:rsidRPr="00865D41" w:rsidRDefault="00FA2D56" w:rsidP="00031AE8">
      <w:pPr>
        <w:pStyle w:val="Nagwek1"/>
      </w:pPr>
      <w:r w:rsidRPr="00865D41">
        <w:lastRenderedPageBreak/>
        <w:t>Wolne miejsca pracy i miejsca aktywizacji zawodowe</w:t>
      </w:r>
    </w:p>
    <w:p w14:paraId="502DD701" w14:textId="4D976000" w:rsidR="00081623" w:rsidRDefault="00081623" w:rsidP="00081623">
      <w:pPr>
        <w:pStyle w:val="Legenda"/>
      </w:pPr>
      <w:r>
        <w:t xml:space="preserve">Wykres </w:t>
      </w:r>
      <w:r>
        <w:fldChar w:fldCharType="begin"/>
      </w:r>
      <w:r>
        <w:instrText xml:space="preserve"> SEQ Wykres \* ARABIC </w:instrText>
      </w:r>
      <w:r>
        <w:fldChar w:fldCharType="separate"/>
      </w:r>
      <w:r w:rsidR="00440F8F">
        <w:rPr>
          <w:noProof/>
        </w:rPr>
        <w:t>5</w:t>
      </w:r>
      <w:r>
        <w:fldChar w:fldCharType="end"/>
      </w:r>
      <w:r w:rsidRPr="009451FC">
        <w:t xml:space="preserve"> Liczba ofert pracy zgłoszonych do PUP w okresie luty 2025-2026</w:t>
      </w:r>
    </w:p>
    <w:p w14:paraId="4DD60D44" w14:textId="79B6485E" w:rsidR="005C1A29" w:rsidRDefault="00081623" w:rsidP="005C1A29">
      <w:pPr>
        <w:pStyle w:val="Legenda"/>
      </w:pPr>
      <w:r>
        <w:rPr>
          <w:noProof/>
        </w:rPr>
        <w:drawing>
          <wp:inline distT="0" distB="0" distL="0" distR="0" wp14:anchorId="3F241120" wp14:editId="17A69A5C">
            <wp:extent cx="5760000" cy="2993976"/>
            <wp:effectExtent l="19050" t="19050" r="12700" b="16510"/>
            <wp:docPr id="14" name="Obraz 14" descr="Wykres 5. Liczba ofert pracy zgłaszanych do PUP okresie  2025-2026&#10;Liczba ofert pracy ogółem: &#10;II 2025 4942&#10;III 2025 5987&#10;IV 2025 5410&#10;V 2025 4 564&#10;VI 2025 2452&#10;VII 2025 3347&#10;VIII 2025 2383&#10;IX 2025 3625&#10;X 2025 2890&#10;XI 2025 2890&#10;XII 2025 1244&#10;I 2026 1735&#10;II 2026 2408&#10;W tym pracy niesubsydiowanej: &#10;II 2025 3 191&#10;III 2025 4 379&#10;IV 2025 4 179&#10;V 2025 3 823&#10;VI 2025 2218&#10;VII 2025 2704&#10;VIII 2025 1675&#10;IX 2025 2872&#10;X 2025 2287&#10;XI 2025 2287&#10;XII 2025 1085&#10;I 2026  1570&#10;II 2026 19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descr="Wykres 5. Liczba ofert pracy zgłaszanych do PUP okresie  2025-2026&#10;Liczba ofert pracy ogółem: &#10;II 2025 4942&#10;III 2025 5987&#10;IV 2025 5410&#10;V 2025 4 564&#10;VI 2025 2452&#10;VII 2025 3347&#10;VIII 2025 2383&#10;IX 2025 3625&#10;X 2025 2890&#10;XI 2025 2890&#10;XII 2025 1244&#10;I 2026 1735&#10;II 2026 2408&#10;W tym pracy niesubsydiowanej: &#10;II 2025 3 191&#10;III 2025 4 379&#10;IV 2025 4 179&#10;V 2025 3 823&#10;VI 2025 2218&#10;VII 2025 2704&#10;VIII 2025 1675&#10;IX 2025 2872&#10;X 2025 2287&#10;XI 2025 2287&#10;XII 2025 1085&#10;I 2026  1570&#10;II 2026 1952&#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00" cy="2993976"/>
                    </a:xfrm>
                    <a:prstGeom prst="rect">
                      <a:avLst/>
                    </a:prstGeom>
                    <a:noFill/>
                    <a:ln>
                      <a:solidFill>
                        <a:schemeClr val="bg1">
                          <a:lumMod val="95000"/>
                        </a:schemeClr>
                      </a:solidFill>
                    </a:ln>
                  </pic:spPr>
                </pic:pic>
              </a:graphicData>
            </a:graphic>
          </wp:inline>
        </w:drawing>
      </w:r>
    </w:p>
    <w:p w14:paraId="6D7051A1" w14:textId="60992884" w:rsidR="00F5377B" w:rsidRDefault="00F5377B" w:rsidP="00F5377B">
      <w:r>
        <w:t xml:space="preserve">W okresie sprawozdawczym w województwie dolnośląskim odnotowano wzrost liczby ofert pracy zgłaszanych do powiatowych urzędów pracy, których zaewidencjonowano </w:t>
      </w:r>
      <w:r w:rsidR="0033726B">
        <w:t>2 408</w:t>
      </w:r>
      <w:r>
        <w:t>.</w:t>
      </w:r>
      <w:r w:rsidR="00680654">
        <w:t xml:space="preserve"> Na</w:t>
      </w:r>
      <w:r>
        <w:t xml:space="preserve"> 1 zgłoszone wolne miejsce pracy przypadało przeciętnie </w:t>
      </w:r>
      <w:r w:rsidR="0033726B">
        <w:t>3,2</w:t>
      </w:r>
      <w:r>
        <w:t xml:space="preserve"> nowo zarejestrowanego bezrobotnego. Liczba ofert pracy subsydiowanej wyniosła </w:t>
      </w:r>
      <w:r w:rsidR="0033726B">
        <w:t>18,9</w:t>
      </w:r>
      <w:r>
        <w:t>% ogólnej liczby wolnych miejsc pracy</w:t>
      </w:r>
      <w:r w:rsidR="0033726B">
        <w:t xml:space="preserve"> (wzrost o 9,4 punktu procentowego w stosunku </w:t>
      </w:r>
      <w:r w:rsidR="00B04465">
        <w:t>do poprzedniego</w:t>
      </w:r>
      <w:r w:rsidR="0033726B">
        <w:t xml:space="preserve"> miesiąca)</w:t>
      </w:r>
      <w:r>
        <w:t xml:space="preserve">. </w:t>
      </w:r>
      <w:r w:rsidR="0033726B">
        <w:t>Ponad połowa</w:t>
      </w:r>
      <w:r>
        <w:t xml:space="preserve"> </w:t>
      </w:r>
      <w:r w:rsidR="0033726B">
        <w:t xml:space="preserve">zgłoszonych miejsc pracy </w:t>
      </w:r>
      <w:r>
        <w:t>dotyczył</w:t>
      </w:r>
      <w:r w:rsidR="0033726B">
        <w:t>a</w:t>
      </w:r>
      <w:r>
        <w:t xml:space="preserve"> prac sezonowych.</w:t>
      </w:r>
    </w:p>
    <w:p w14:paraId="43F7D515" w14:textId="40272D6E" w:rsidR="00F5377B" w:rsidRPr="00F5377B" w:rsidRDefault="00F5377B" w:rsidP="00F5377B">
      <w:r>
        <w:t xml:space="preserve">Najwięcej ofert pracy (powyżej 100), które stanowiły </w:t>
      </w:r>
      <w:r w:rsidR="00325C04">
        <w:t>blisko 65</w:t>
      </w:r>
      <w:r>
        <w:t>% ofert w całym województwie dolnośląskim odnotowano w powiatach: wrocławskim grodzkim (</w:t>
      </w:r>
      <w:r w:rsidR="00325C04">
        <w:t>688</w:t>
      </w:r>
      <w:r>
        <w:t xml:space="preserve">), </w:t>
      </w:r>
      <w:r w:rsidR="00325C04">
        <w:t>lubińskim (248), bolesławieckim (134), wałbrzyskim grodzkim (133), świdnickim (123), polkowickim (121) oraz kłodzkim (118).</w:t>
      </w:r>
    </w:p>
    <w:p w14:paraId="2C13CEB3" w14:textId="7D41D749" w:rsidR="00081623" w:rsidRDefault="00081623" w:rsidP="00081623">
      <w:pPr>
        <w:pStyle w:val="Legenda"/>
      </w:pPr>
      <w:r>
        <w:t xml:space="preserve">Tabela </w:t>
      </w:r>
      <w:r>
        <w:fldChar w:fldCharType="begin"/>
      </w:r>
      <w:r>
        <w:instrText xml:space="preserve"> SEQ Tabela \* ARABIC </w:instrText>
      </w:r>
      <w:r>
        <w:fldChar w:fldCharType="separate"/>
      </w:r>
      <w:r w:rsidR="00440F8F">
        <w:rPr>
          <w:noProof/>
        </w:rPr>
        <w:t>5</w:t>
      </w:r>
      <w:r>
        <w:fldChar w:fldCharType="end"/>
      </w:r>
      <w:r>
        <w:t xml:space="preserve"> </w:t>
      </w:r>
      <w:r w:rsidRPr="00C34201">
        <w:t>Powiaty o najniższym wskaźniku napływu bezrobotnych przypadających na jedno zgłoszone miejsce pracy</w:t>
      </w:r>
    </w:p>
    <w:tbl>
      <w:tblPr>
        <w:tblW w:w="10220" w:type="dxa"/>
        <w:tblCellMar>
          <w:left w:w="70" w:type="dxa"/>
          <w:right w:w="70" w:type="dxa"/>
        </w:tblCellMar>
        <w:tblLook w:val="04A0" w:firstRow="1" w:lastRow="0" w:firstColumn="1" w:lastColumn="0" w:noHBand="0" w:noVBand="1"/>
      </w:tblPr>
      <w:tblGrid>
        <w:gridCol w:w="380"/>
        <w:gridCol w:w="2280"/>
        <w:gridCol w:w="2320"/>
        <w:gridCol w:w="1840"/>
        <w:gridCol w:w="3400"/>
      </w:tblGrid>
      <w:tr w:rsidR="00081623" w:rsidRPr="00081623" w14:paraId="47C75421" w14:textId="77777777" w:rsidTr="00081623">
        <w:trPr>
          <w:trHeight w:val="699"/>
        </w:trPr>
        <w:tc>
          <w:tcPr>
            <w:tcW w:w="380" w:type="dxa"/>
            <w:tcBorders>
              <w:top w:val="single" w:sz="8" w:space="0" w:color="auto"/>
              <w:left w:val="single" w:sz="8" w:space="0" w:color="auto"/>
              <w:bottom w:val="nil"/>
              <w:right w:val="single" w:sz="4" w:space="0" w:color="auto"/>
            </w:tcBorders>
            <w:shd w:val="clear" w:color="auto" w:fill="auto"/>
            <w:vAlign w:val="center"/>
            <w:hideMark/>
          </w:tcPr>
          <w:p w14:paraId="3BDDFDE6" w14:textId="77777777" w:rsidR="00081623" w:rsidRPr="00081623" w:rsidRDefault="00081623" w:rsidP="00081623">
            <w:pPr>
              <w:spacing w:before="0" w:after="0" w:line="240" w:lineRule="auto"/>
              <w:rPr>
                <w:rFonts w:ascii="Calibri" w:eastAsia="Times New Roman" w:hAnsi="Calibri" w:cs="Calibri"/>
                <w:b/>
                <w:bCs/>
                <w:color w:val="auto"/>
                <w:sz w:val="18"/>
                <w:szCs w:val="18"/>
                <w:lang w:eastAsia="pl-PL"/>
              </w:rPr>
            </w:pPr>
            <w:r w:rsidRPr="00081623">
              <w:rPr>
                <w:rFonts w:ascii="Calibri" w:eastAsia="Times New Roman" w:hAnsi="Calibri" w:cs="Calibri"/>
                <w:b/>
                <w:bCs/>
                <w:color w:val="auto"/>
                <w:sz w:val="18"/>
                <w:szCs w:val="18"/>
                <w:lang w:eastAsia="pl-PL"/>
              </w:rPr>
              <w:t>Lp.</w:t>
            </w:r>
          </w:p>
        </w:tc>
        <w:tc>
          <w:tcPr>
            <w:tcW w:w="2280" w:type="dxa"/>
            <w:tcBorders>
              <w:top w:val="single" w:sz="8" w:space="0" w:color="auto"/>
              <w:left w:val="nil"/>
              <w:bottom w:val="nil"/>
              <w:right w:val="single" w:sz="4" w:space="0" w:color="auto"/>
            </w:tcBorders>
            <w:shd w:val="clear" w:color="auto" w:fill="auto"/>
            <w:vAlign w:val="center"/>
            <w:hideMark/>
          </w:tcPr>
          <w:p w14:paraId="4E622989" w14:textId="77777777" w:rsidR="00081623" w:rsidRPr="00081623" w:rsidRDefault="00081623" w:rsidP="00081623">
            <w:pPr>
              <w:spacing w:before="0" w:after="0" w:line="240" w:lineRule="auto"/>
              <w:rPr>
                <w:rFonts w:ascii="Calibri" w:eastAsia="Times New Roman" w:hAnsi="Calibri" w:cs="Calibri"/>
                <w:b/>
                <w:bCs/>
                <w:color w:val="auto"/>
                <w:sz w:val="18"/>
                <w:szCs w:val="18"/>
                <w:lang w:eastAsia="pl-PL"/>
              </w:rPr>
            </w:pPr>
            <w:r w:rsidRPr="00081623">
              <w:rPr>
                <w:rFonts w:ascii="Calibri" w:eastAsia="Times New Roman" w:hAnsi="Calibri" w:cs="Calibri"/>
                <w:b/>
                <w:bCs/>
                <w:color w:val="auto"/>
                <w:sz w:val="18"/>
                <w:szCs w:val="18"/>
                <w:lang w:eastAsia="pl-PL"/>
              </w:rPr>
              <w:t>Powiat</w:t>
            </w:r>
          </w:p>
        </w:tc>
        <w:tc>
          <w:tcPr>
            <w:tcW w:w="2320" w:type="dxa"/>
            <w:tcBorders>
              <w:top w:val="single" w:sz="8" w:space="0" w:color="auto"/>
              <w:left w:val="nil"/>
              <w:bottom w:val="nil"/>
              <w:right w:val="single" w:sz="4" w:space="0" w:color="auto"/>
            </w:tcBorders>
            <w:shd w:val="clear" w:color="auto" w:fill="auto"/>
            <w:vAlign w:val="center"/>
            <w:hideMark/>
          </w:tcPr>
          <w:p w14:paraId="26E04377" w14:textId="77777777" w:rsidR="00081623" w:rsidRPr="00081623" w:rsidRDefault="00081623" w:rsidP="00081623">
            <w:pPr>
              <w:spacing w:before="0" w:after="0" w:line="240" w:lineRule="auto"/>
              <w:rPr>
                <w:rFonts w:ascii="Calibri" w:eastAsia="Times New Roman" w:hAnsi="Calibri" w:cs="Calibri"/>
                <w:b/>
                <w:bCs/>
                <w:color w:val="auto"/>
                <w:sz w:val="18"/>
                <w:szCs w:val="18"/>
                <w:lang w:eastAsia="pl-PL"/>
              </w:rPr>
            </w:pPr>
            <w:r w:rsidRPr="00081623">
              <w:rPr>
                <w:rFonts w:ascii="Calibri" w:eastAsia="Times New Roman" w:hAnsi="Calibri" w:cs="Calibri"/>
                <w:b/>
                <w:bCs/>
                <w:color w:val="auto"/>
                <w:sz w:val="18"/>
                <w:szCs w:val="18"/>
                <w:lang w:eastAsia="pl-PL"/>
              </w:rPr>
              <w:t>Liczba zgłoszonych ofert zatrudnienia w lutym 2026</w:t>
            </w:r>
          </w:p>
        </w:tc>
        <w:tc>
          <w:tcPr>
            <w:tcW w:w="1840" w:type="dxa"/>
            <w:tcBorders>
              <w:top w:val="single" w:sz="8" w:space="0" w:color="auto"/>
              <w:left w:val="nil"/>
              <w:bottom w:val="nil"/>
              <w:right w:val="single" w:sz="4" w:space="0" w:color="auto"/>
            </w:tcBorders>
            <w:shd w:val="clear" w:color="auto" w:fill="auto"/>
            <w:vAlign w:val="center"/>
            <w:hideMark/>
          </w:tcPr>
          <w:p w14:paraId="0488E5C8" w14:textId="77777777" w:rsidR="00081623" w:rsidRPr="00081623" w:rsidRDefault="00081623" w:rsidP="00081623">
            <w:pPr>
              <w:spacing w:before="0" w:after="0" w:line="240" w:lineRule="auto"/>
              <w:rPr>
                <w:rFonts w:ascii="Calibri" w:eastAsia="Times New Roman" w:hAnsi="Calibri" w:cs="Calibri"/>
                <w:b/>
                <w:bCs/>
                <w:color w:val="auto"/>
                <w:sz w:val="18"/>
                <w:szCs w:val="18"/>
                <w:lang w:eastAsia="pl-PL"/>
              </w:rPr>
            </w:pPr>
            <w:r w:rsidRPr="00081623">
              <w:rPr>
                <w:rFonts w:ascii="Calibri" w:eastAsia="Times New Roman" w:hAnsi="Calibri" w:cs="Calibri"/>
                <w:b/>
                <w:bCs/>
                <w:color w:val="auto"/>
                <w:sz w:val="18"/>
                <w:szCs w:val="18"/>
                <w:lang w:eastAsia="pl-PL"/>
              </w:rPr>
              <w:t>Napływ bezrobotnych</w:t>
            </w:r>
            <w:r w:rsidRPr="00081623">
              <w:rPr>
                <w:rFonts w:ascii="Calibri" w:eastAsia="Times New Roman" w:hAnsi="Calibri" w:cs="Calibri"/>
                <w:b/>
                <w:bCs/>
                <w:color w:val="auto"/>
                <w:sz w:val="18"/>
                <w:szCs w:val="18"/>
                <w:lang w:eastAsia="pl-PL"/>
              </w:rPr>
              <w:br/>
              <w:t>w lutym 2026</w:t>
            </w:r>
          </w:p>
        </w:tc>
        <w:tc>
          <w:tcPr>
            <w:tcW w:w="3400" w:type="dxa"/>
            <w:tcBorders>
              <w:top w:val="single" w:sz="8" w:space="0" w:color="auto"/>
              <w:left w:val="nil"/>
              <w:bottom w:val="nil"/>
              <w:right w:val="single" w:sz="8" w:space="0" w:color="auto"/>
            </w:tcBorders>
            <w:shd w:val="clear" w:color="auto" w:fill="auto"/>
            <w:vAlign w:val="center"/>
            <w:hideMark/>
          </w:tcPr>
          <w:p w14:paraId="12E3C9F4" w14:textId="77777777" w:rsidR="00081623" w:rsidRPr="00081623" w:rsidRDefault="00081623" w:rsidP="00081623">
            <w:pPr>
              <w:spacing w:before="0" w:after="0" w:line="240" w:lineRule="auto"/>
              <w:rPr>
                <w:rFonts w:ascii="Calibri" w:eastAsia="Times New Roman" w:hAnsi="Calibri" w:cs="Calibri"/>
                <w:b/>
                <w:bCs/>
                <w:color w:val="auto"/>
                <w:sz w:val="18"/>
                <w:szCs w:val="18"/>
                <w:lang w:eastAsia="pl-PL"/>
              </w:rPr>
            </w:pPr>
            <w:r w:rsidRPr="00081623">
              <w:rPr>
                <w:rFonts w:ascii="Calibri" w:eastAsia="Times New Roman" w:hAnsi="Calibri" w:cs="Calibri"/>
                <w:b/>
                <w:bCs/>
                <w:color w:val="auto"/>
                <w:sz w:val="18"/>
                <w:szCs w:val="18"/>
                <w:lang w:eastAsia="pl-PL"/>
              </w:rPr>
              <w:t>Liczba nowo zarejestrowanych bezrobotnych przypadających na jedną ofertę zatrudnienia</w:t>
            </w:r>
          </w:p>
        </w:tc>
      </w:tr>
      <w:tr w:rsidR="00081623" w:rsidRPr="00081623" w14:paraId="2B37A2A0" w14:textId="77777777" w:rsidTr="00081623">
        <w:trPr>
          <w:trHeight w:val="204"/>
        </w:trPr>
        <w:tc>
          <w:tcPr>
            <w:tcW w:w="3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4F3628F"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w:t>
            </w:r>
          </w:p>
        </w:tc>
        <w:tc>
          <w:tcPr>
            <w:tcW w:w="2280" w:type="dxa"/>
            <w:tcBorders>
              <w:top w:val="single" w:sz="8" w:space="0" w:color="auto"/>
              <w:left w:val="nil"/>
              <w:bottom w:val="single" w:sz="4" w:space="0" w:color="auto"/>
              <w:right w:val="single" w:sz="4" w:space="0" w:color="auto"/>
            </w:tcBorders>
            <w:shd w:val="clear" w:color="auto" w:fill="auto"/>
            <w:noWrap/>
            <w:vAlign w:val="bottom"/>
            <w:hideMark/>
          </w:tcPr>
          <w:p w14:paraId="4818E95B"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Lubiński</w:t>
            </w:r>
          </w:p>
        </w:tc>
        <w:tc>
          <w:tcPr>
            <w:tcW w:w="2320" w:type="dxa"/>
            <w:tcBorders>
              <w:top w:val="single" w:sz="8" w:space="0" w:color="auto"/>
              <w:left w:val="nil"/>
              <w:bottom w:val="single" w:sz="4" w:space="0" w:color="auto"/>
              <w:right w:val="single" w:sz="4" w:space="0" w:color="auto"/>
            </w:tcBorders>
            <w:shd w:val="clear" w:color="auto" w:fill="auto"/>
            <w:noWrap/>
            <w:vAlign w:val="center"/>
            <w:hideMark/>
          </w:tcPr>
          <w:p w14:paraId="7EBD26FD"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248</w:t>
            </w:r>
          </w:p>
        </w:tc>
        <w:tc>
          <w:tcPr>
            <w:tcW w:w="1840" w:type="dxa"/>
            <w:tcBorders>
              <w:top w:val="single" w:sz="8" w:space="0" w:color="auto"/>
              <w:left w:val="nil"/>
              <w:bottom w:val="single" w:sz="4" w:space="0" w:color="auto"/>
              <w:right w:val="single" w:sz="4" w:space="0" w:color="auto"/>
            </w:tcBorders>
            <w:shd w:val="clear" w:color="auto" w:fill="auto"/>
            <w:noWrap/>
            <w:vAlign w:val="center"/>
            <w:hideMark/>
          </w:tcPr>
          <w:p w14:paraId="398DBD6F"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236</w:t>
            </w:r>
          </w:p>
        </w:tc>
        <w:tc>
          <w:tcPr>
            <w:tcW w:w="3400" w:type="dxa"/>
            <w:tcBorders>
              <w:top w:val="single" w:sz="8" w:space="0" w:color="auto"/>
              <w:left w:val="nil"/>
              <w:bottom w:val="single" w:sz="4" w:space="0" w:color="auto"/>
              <w:right w:val="single" w:sz="8" w:space="0" w:color="auto"/>
            </w:tcBorders>
            <w:shd w:val="clear" w:color="auto" w:fill="auto"/>
            <w:noWrap/>
            <w:vAlign w:val="center"/>
            <w:hideMark/>
          </w:tcPr>
          <w:p w14:paraId="0DA9192E"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1,0</w:t>
            </w:r>
          </w:p>
        </w:tc>
      </w:tr>
      <w:tr w:rsidR="00081623" w:rsidRPr="00081623" w14:paraId="107C1C28" w14:textId="77777777" w:rsidTr="00081623">
        <w:trPr>
          <w:trHeight w:val="192"/>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14:paraId="10668E59"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2</w:t>
            </w:r>
          </w:p>
        </w:tc>
        <w:tc>
          <w:tcPr>
            <w:tcW w:w="2280" w:type="dxa"/>
            <w:tcBorders>
              <w:top w:val="nil"/>
              <w:left w:val="nil"/>
              <w:bottom w:val="single" w:sz="4" w:space="0" w:color="auto"/>
              <w:right w:val="single" w:sz="4" w:space="0" w:color="auto"/>
            </w:tcBorders>
            <w:shd w:val="clear" w:color="auto" w:fill="auto"/>
            <w:noWrap/>
            <w:vAlign w:val="bottom"/>
            <w:hideMark/>
          </w:tcPr>
          <w:p w14:paraId="496FA4FA"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Milicki</w:t>
            </w:r>
          </w:p>
        </w:tc>
        <w:tc>
          <w:tcPr>
            <w:tcW w:w="2320" w:type="dxa"/>
            <w:tcBorders>
              <w:top w:val="nil"/>
              <w:left w:val="nil"/>
              <w:bottom w:val="single" w:sz="4" w:space="0" w:color="auto"/>
              <w:right w:val="single" w:sz="4" w:space="0" w:color="auto"/>
            </w:tcBorders>
            <w:shd w:val="clear" w:color="auto" w:fill="auto"/>
            <w:noWrap/>
            <w:vAlign w:val="center"/>
            <w:hideMark/>
          </w:tcPr>
          <w:p w14:paraId="5B18F0F2"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69</w:t>
            </w:r>
          </w:p>
        </w:tc>
        <w:tc>
          <w:tcPr>
            <w:tcW w:w="1840" w:type="dxa"/>
            <w:tcBorders>
              <w:top w:val="nil"/>
              <w:left w:val="nil"/>
              <w:bottom w:val="single" w:sz="4" w:space="0" w:color="auto"/>
              <w:right w:val="single" w:sz="4" w:space="0" w:color="auto"/>
            </w:tcBorders>
            <w:shd w:val="clear" w:color="auto" w:fill="auto"/>
            <w:noWrap/>
            <w:vAlign w:val="center"/>
            <w:hideMark/>
          </w:tcPr>
          <w:p w14:paraId="66E063DB"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87</w:t>
            </w:r>
          </w:p>
        </w:tc>
        <w:tc>
          <w:tcPr>
            <w:tcW w:w="3400" w:type="dxa"/>
            <w:tcBorders>
              <w:top w:val="nil"/>
              <w:left w:val="nil"/>
              <w:bottom w:val="single" w:sz="4" w:space="0" w:color="auto"/>
              <w:right w:val="single" w:sz="8" w:space="0" w:color="auto"/>
            </w:tcBorders>
            <w:shd w:val="clear" w:color="auto" w:fill="auto"/>
            <w:noWrap/>
            <w:vAlign w:val="center"/>
            <w:hideMark/>
          </w:tcPr>
          <w:p w14:paraId="4963B0A2"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1,3</w:t>
            </w:r>
          </w:p>
        </w:tc>
      </w:tr>
      <w:tr w:rsidR="00081623" w:rsidRPr="00081623" w14:paraId="5CDC513C" w14:textId="77777777" w:rsidTr="00081623">
        <w:trPr>
          <w:trHeight w:val="192"/>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14:paraId="0450F431"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3</w:t>
            </w:r>
          </w:p>
        </w:tc>
        <w:tc>
          <w:tcPr>
            <w:tcW w:w="2280" w:type="dxa"/>
            <w:tcBorders>
              <w:top w:val="nil"/>
              <w:left w:val="nil"/>
              <w:bottom w:val="single" w:sz="4" w:space="0" w:color="auto"/>
              <w:right w:val="single" w:sz="4" w:space="0" w:color="auto"/>
            </w:tcBorders>
            <w:shd w:val="clear" w:color="auto" w:fill="auto"/>
            <w:noWrap/>
            <w:vAlign w:val="bottom"/>
            <w:hideMark/>
          </w:tcPr>
          <w:p w14:paraId="30B49E1F"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Polkowicki</w:t>
            </w:r>
          </w:p>
        </w:tc>
        <w:tc>
          <w:tcPr>
            <w:tcW w:w="2320" w:type="dxa"/>
            <w:tcBorders>
              <w:top w:val="nil"/>
              <w:left w:val="nil"/>
              <w:bottom w:val="single" w:sz="4" w:space="0" w:color="auto"/>
              <w:right w:val="single" w:sz="4" w:space="0" w:color="auto"/>
            </w:tcBorders>
            <w:shd w:val="clear" w:color="auto" w:fill="auto"/>
            <w:noWrap/>
            <w:vAlign w:val="center"/>
            <w:hideMark/>
          </w:tcPr>
          <w:p w14:paraId="1C22C615"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121</w:t>
            </w:r>
          </w:p>
        </w:tc>
        <w:tc>
          <w:tcPr>
            <w:tcW w:w="1840" w:type="dxa"/>
            <w:tcBorders>
              <w:top w:val="nil"/>
              <w:left w:val="nil"/>
              <w:bottom w:val="single" w:sz="4" w:space="0" w:color="auto"/>
              <w:right w:val="single" w:sz="4" w:space="0" w:color="auto"/>
            </w:tcBorders>
            <w:shd w:val="clear" w:color="auto" w:fill="auto"/>
            <w:noWrap/>
            <w:vAlign w:val="center"/>
            <w:hideMark/>
          </w:tcPr>
          <w:p w14:paraId="7D15DDA8"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208</w:t>
            </w:r>
          </w:p>
        </w:tc>
        <w:tc>
          <w:tcPr>
            <w:tcW w:w="3400" w:type="dxa"/>
            <w:tcBorders>
              <w:top w:val="nil"/>
              <w:left w:val="nil"/>
              <w:bottom w:val="single" w:sz="4" w:space="0" w:color="auto"/>
              <w:right w:val="single" w:sz="8" w:space="0" w:color="auto"/>
            </w:tcBorders>
            <w:shd w:val="clear" w:color="auto" w:fill="auto"/>
            <w:noWrap/>
            <w:vAlign w:val="center"/>
            <w:hideMark/>
          </w:tcPr>
          <w:p w14:paraId="4AE5618E"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1,7</w:t>
            </w:r>
          </w:p>
        </w:tc>
      </w:tr>
      <w:tr w:rsidR="00081623" w:rsidRPr="00081623" w14:paraId="16709594" w14:textId="77777777" w:rsidTr="00081623">
        <w:trPr>
          <w:trHeight w:val="228"/>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14:paraId="0B256409"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4</w:t>
            </w:r>
          </w:p>
        </w:tc>
        <w:tc>
          <w:tcPr>
            <w:tcW w:w="2280" w:type="dxa"/>
            <w:tcBorders>
              <w:top w:val="nil"/>
              <w:left w:val="nil"/>
              <w:bottom w:val="single" w:sz="4" w:space="0" w:color="auto"/>
              <w:right w:val="single" w:sz="4" w:space="0" w:color="auto"/>
            </w:tcBorders>
            <w:shd w:val="clear" w:color="auto" w:fill="auto"/>
            <w:noWrap/>
            <w:vAlign w:val="bottom"/>
            <w:hideMark/>
          </w:tcPr>
          <w:p w14:paraId="347B5CB3"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Bolesławiecki</w:t>
            </w:r>
          </w:p>
        </w:tc>
        <w:tc>
          <w:tcPr>
            <w:tcW w:w="2320" w:type="dxa"/>
            <w:tcBorders>
              <w:top w:val="nil"/>
              <w:left w:val="nil"/>
              <w:bottom w:val="single" w:sz="4" w:space="0" w:color="auto"/>
              <w:right w:val="single" w:sz="4" w:space="0" w:color="auto"/>
            </w:tcBorders>
            <w:shd w:val="clear" w:color="auto" w:fill="auto"/>
            <w:noWrap/>
            <w:vAlign w:val="center"/>
            <w:hideMark/>
          </w:tcPr>
          <w:p w14:paraId="7BA0180A"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134</w:t>
            </w:r>
          </w:p>
        </w:tc>
        <w:tc>
          <w:tcPr>
            <w:tcW w:w="1840" w:type="dxa"/>
            <w:tcBorders>
              <w:top w:val="nil"/>
              <w:left w:val="nil"/>
              <w:bottom w:val="single" w:sz="4" w:space="0" w:color="auto"/>
              <w:right w:val="single" w:sz="4" w:space="0" w:color="auto"/>
            </w:tcBorders>
            <w:shd w:val="clear" w:color="auto" w:fill="auto"/>
            <w:noWrap/>
            <w:vAlign w:val="center"/>
            <w:hideMark/>
          </w:tcPr>
          <w:p w14:paraId="47C72FBE"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240</w:t>
            </w:r>
          </w:p>
        </w:tc>
        <w:tc>
          <w:tcPr>
            <w:tcW w:w="3400" w:type="dxa"/>
            <w:tcBorders>
              <w:top w:val="nil"/>
              <w:left w:val="nil"/>
              <w:bottom w:val="single" w:sz="4" w:space="0" w:color="auto"/>
              <w:right w:val="single" w:sz="8" w:space="0" w:color="auto"/>
            </w:tcBorders>
            <w:shd w:val="clear" w:color="auto" w:fill="auto"/>
            <w:noWrap/>
            <w:vAlign w:val="center"/>
            <w:hideMark/>
          </w:tcPr>
          <w:p w14:paraId="3F7F6C75"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1,8</w:t>
            </w:r>
          </w:p>
        </w:tc>
      </w:tr>
      <w:tr w:rsidR="00081623" w:rsidRPr="00081623" w14:paraId="00B62CD9" w14:textId="77777777" w:rsidTr="00081623">
        <w:trPr>
          <w:trHeight w:val="192"/>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14:paraId="782716C5"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5</w:t>
            </w:r>
          </w:p>
        </w:tc>
        <w:tc>
          <w:tcPr>
            <w:tcW w:w="2280" w:type="dxa"/>
            <w:tcBorders>
              <w:top w:val="nil"/>
              <w:left w:val="nil"/>
              <w:bottom w:val="single" w:sz="4" w:space="0" w:color="auto"/>
              <w:right w:val="single" w:sz="4" w:space="0" w:color="auto"/>
            </w:tcBorders>
            <w:shd w:val="clear" w:color="auto" w:fill="auto"/>
            <w:noWrap/>
            <w:vAlign w:val="bottom"/>
            <w:hideMark/>
          </w:tcPr>
          <w:p w14:paraId="0EA172C3"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Wrocławski-grodzki</w:t>
            </w:r>
          </w:p>
        </w:tc>
        <w:tc>
          <w:tcPr>
            <w:tcW w:w="2320" w:type="dxa"/>
            <w:tcBorders>
              <w:top w:val="nil"/>
              <w:left w:val="nil"/>
              <w:bottom w:val="single" w:sz="4" w:space="0" w:color="auto"/>
              <w:right w:val="single" w:sz="4" w:space="0" w:color="auto"/>
            </w:tcBorders>
            <w:shd w:val="clear" w:color="auto" w:fill="auto"/>
            <w:noWrap/>
            <w:vAlign w:val="center"/>
            <w:hideMark/>
          </w:tcPr>
          <w:p w14:paraId="62BC6B98"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688</w:t>
            </w:r>
          </w:p>
        </w:tc>
        <w:tc>
          <w:tcPr>
            <w:tcW w:w="1840" w:type="dxa"/>
            <w:tcBorders>
              <w:top w:val="nil"/>
              <w:left w:val="nil"/>
              <w:bottom w:val="single" w:sz="4" w:space="0" w:color="auto"/>
              <w:right w:val="single" w:sz="4" w:space="0" w:color="auto"/>
            </w:tcBorders>
            <w:shd w:val="clear" w:color="auto" w:fill="auto"/>
            <w:noWrap/>
            <w:vAlign w:val="center"/>
            <w:hideMark/>
          </w:tcPr>
          <w:p w14:paraId="71788E5E"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1 281</w:t>
            </w:r>
          </w:p>
        </w:tc>
        <w:tc>
          <w:tcPr>
            <w:tcW w:w="3400" w:type="dxa"/>
            <w:tcBorders>
              <w:top w:val="nil"/>
              <w:left w:val="nil"/>
              <w:bottom w:val="single" w:sz="4" w:space="0" w:color="auto"/>
              <w:right w:val="single" w:sz="8" w:space="0" w:color="auto"/>
            </w:tcBorders>
            <w:shd w:val="clear" w:color="auto" w:fill="auto"/>
            <w:noWrap/>
            <w:vAlign w:val="center"/>
            <w:hideMark/>
          </w:tcPr>
          <w:p w14:paraId="38FA986C"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1,9</w:t>
            </w:r>
          </w:p>
        </w:tc>
      </w:tr>
      <w:tr w:rsidR="00081623" w:rsidRPr="00081623" w14:paraId="6E17186B" w14:textId="77777777" w:rsidTr="00081623">
        <w:trPr>
          <w:trHeight w:val="192"/>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14:paraId="67E32A7D"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6</w:t>
            </w:r>
          </w:p>
        </w:tc>
        <w:tc>
          <w:tcPr>
            <w:tcW w:w="2280" w:type="dxa"/>
            <w:tcBorders>
              <w:top w:val="nil"/>
              <w:left w:val="nil"/>
              <w:bottom w:val="single" w:sz="4" w:space="0" w:color="auto"/>
              <w:right w:val="single" w:sz="4" w:space="0" w:color="auto"/>
            </w:tcBorders>
            <w:shd w:val="clear" w:color="auto" w:fill="auto"/>
            <w:noWrap/>
            <w:vAlign w:val="bottom"/>
            <w:hideMark/>
          </w:tcPr>
          <w:p w14:paraId="10E1FD51"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Lubański</w:t>
            </w:r>
          </w:p>
        </w:tc>
        <w:tc>
          <w:tcPr>
            <w:tcW w:w="2320" w:type="dxa"/>
            <w:tcBorders>
              <w:top w:val="nil"/>
              <w:left w:val="nil"/>
              <w:bottom w:val="single" w:sz="4" w:space="0" w:color="auto"/>
              <w:right w:val="single" w:sz="4" w:space="0" w:color="auto"/>
            </w:tcBorders>
            <w:shd w:val="clear" w:color="auto" w:fill="auto"/>
            <w:noWrap/>
            <w:vAlign w:val="center"/>
            <w:hideMark/>
          </w:tcPr>
          <w:p w14:paraId="48BFCDB0"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62</w:t>
            </w:r>
          </w:p>
        </w:tc>
        <w:tc>
          <w:tcPr>
            <w:tcW w:w="1840" w:type="dxa"/>
            <w:tcBorders>
              <w:top w:val="nil"/>
              <w:left w:val="nil"/>
              <w:bottom w:val="single" w:sz="4" w:space="0" w:color="auto"/>
              <w:right w:val="single" w:sz="4" w:space="0" w:color="auto"/>
            </w:tcBorders>
            <w:shd w:val="clear" w:color="auto" w:fill="auto"/>
            <w:noWrap/>
            <w:vAlign w:val="center"/>
            <w:hideMark/>
          </w:tcPr>
          <w:p w14:paraId="0142BACC"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126</w:t>
            </w:r>
          </w:p>
        </w:tc>
        <w:tc>
          <w:tcPr>
            <w:tcW w:w="3400" w:type="dxa"/>
            <w:tcBorders>
              <w:top w:val="nil"/>
              <w:left w:val="nil"/>
              <w:bottom w:val="single" w:sz="4" w:space="0" w:color="auto"/>
              <w:right w:val="single" w:sz="8" w:space="0" w:color="auto"/>
            </w:tcBorders>
            <w:shd w:val="clear" w:color="auto" w:fill="auto"/>
            <w:noWrap/>
            <w:vAlign w:val="center"/>
            <w:hideMark/>
          </w:tcPr>
          <w:p w14:paraId="7804E020"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2,0</w:t>
            </w:r>
          </w:p>
        </w:tc>
      </w:tr>
      <w:tr w:rsidR="00081623" w:rsidRPr="00081623" w14:paraId="02FD3EE9" w14:textId="77777777" w:rsidTr="00081623">
        <w:trPr>
          <w:trHeight w:val="192"/>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14:paraId="0710C2BA"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7</w:t>
            </w:r>
          </w:p>
        </w:tc>
        <w:tc>
          <w:tcPr>
            <w:tcW w:w="2280" w:type="dxa"/>
            <w:tcBorders>
              <w:top w:val="nil"/>
              <w:left w:val="nil"/>
              <w:bottom w:val="single" w:sz="4" w:space="0" w:color="auto"/>
              <w:right w:val="single" w:sz="4" w:space="0" w:color="auto"/>
            </w:tcBorders>
            <w:shd w:val="clear" w:color="auto" w:fill="auto"/>
            <w:noWrap/>
            <w:vAlign w:val="bottom"/>
            <w:hideMark/>
          </w:tcPr>
          <w:p w14:paraId="290B04CE"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Wałbrzyski grodzki</w:t>
            </w:r>
          </w:p>
        </w:tc>
        <w:tc>
          <w:tcPr>
            <w:tcW w:w="2320" w:type="dxa"/>
            <w:tcBorders>
              <w:top w:val="nil"/>
              <w:left w:val="nil"/>
              <w:bottom w:val="single" w:sz="4" w:space="0" w:color="auto"/>
              <w:right w:val="single" w:sz="4" w:space="0" w:color="auto"/>
            </w:tcBorders>
            <w:shd w:val="clear" w:color="auto" w:fill="auto"/>
            <w:noWrap/>
            <w:vAlign w:val="center"/>
            <w:hideMark/>
          </w:tcPr>
          <w:p w14:paraId="26C42542"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133</w:t>
            </w:r>
          </w:p>
        </w:tc>
        <w:tc>
          <w:tcPr>
            <w:tcW w:w="1840" w:type="dxa"/>
            <w:tcBorders>
              <w:top w:val="nil"/>
              <w:left w:val="nil"/>
              <w:bottom w:val="single" w:sz="4" w:space="0" w:color="auto"/>
              <w:right w:val="single" w:sz="4" w:space="0" w:color="auto"/>
            </w:tcBorders>
            <w:shd w:val="clear" w:color="auto" w:fill="auto"/>
            <w:noWrap/>
            <w:vAlign w:val="center"/>
            <w:hideMark/>
          </w:tcPr>
          <w:p w14:paraId="4DD62752"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333</w:t>
            </w:r>
          </w:p>
        </w:tc>
        <w:tc>
          <w:tcPr>
            <w:tcW w:w="3400" w:type="dxa"/>
            <w:tcBorders>
              <w:top w:val="nil"/>
              <w:left w:val="nil"/>
              <w:bottom w:val="single" w:sz="4" w:space="0" w:color="auto"/>
              <w:right w:val="single" w:sz="8" w:space="0" w:color="auto"/>
            </w:tcBorders>
            <w:shd w:val="clear" w:color="auto" w:fill="auto"/>
            <w:noWrap/>
            <w:vAlign w:val="center"/>
            <w:hideMark/>
          </w:tcPr>
          <w:p w14:paraId="2BAF6688"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2,5</w:t>
            </w:r>
          </w:p>
        </w:tc>
      </w:tr>
      <w:tr w:rsidR="00081623" w:rsidRPr="00081623" w14:paraId="1F21F856" w14:textId="77777777" w:rsidTr="00081623">
        <w:trPr>
          <w:trHeight w:val="252"/>
        </w:trPr>
        <w:tc>
          <w:tcPr>
            <w:tcW w:w="380" w:type="dxa"/>
            <w:tcBorders>
              <w:top w:val="nil"/>
              <w:left w:val="single" w:sz="8" w:space="0" w:color="auto"/>
              <w:bottom w:val="single" w:sz="8" w:space="0" w:color="auto"/>
              <w:right w:val="single" w:sz="4" w:space="0" w:color="auto"/>
            </w:tcBorders>
            <w:shd w:val="clear" w:color="auto" w:fill="auto"/>
            <w:noWrap/>
            <w:vAlign w:val="bottom"/>
            <w:hideMark/>
          </w:tcPr>
          <w:p w14:paraId="48631968"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8</w:t>
            </w:r>
          </w:p>
        </w:tc>
        <w:tc>
          <w:tcPr>
            <w:tcW w:w="2280" w:type="dxa"/>
            <w:tcBorders>
              <w:top w:val="nil"/>
              <w:left w:val="nil"/>
              <w:bottom w:val="single" w:sz="8" w:space="0" w:color="auto"/>
              <w:right w:val="single" w:sz="4" w:space="0" w:color="auto"/>
            </w:tcBorders>
            <w:shd w:val="clear" w:color="auto" w:fill="auto"/>
            <w:noWrap/>
            <w:vAlign w:val="bottom"/>
            <w:hideMark/>
          </w:tcPr>
          <w:p w14:paraId="1CD27D6F"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Strzeliński</w:t>
            </w:r>
          </w:p>
        </w:tc>
        <w:tc>
          <w:tcPr>
            <w:tcW w:w="2320" w:type="dxa"/>
            <w:tcBorders>
              <w:top w:val="nil"/>
              <w:left w:val="nil"/>
              <w:bottom w:val="single" w:sz="8" w:space="0" w:color="auto"/>
              <w:right w:val="single" w:sz="4" w:space="0" w:color="auto"/>
            </w:tcBorders>
            <w:shd w:val="clear" w:color="auto" w:fill="auto"/>
            <w:noWrap/>
            <w:vAlign w:val="center"/>
            <w:hideMark/>
          </w:tcPr>
          <w:p w14:paraId="5222BCDA"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50</w:t>
            </w:r>
          </w:p>
        </w:tc>
        <w:tc>
          <w:tcPr>
            <w:tcW w:w="1840" w:type="dxa"/>
            <w:tcBorders>
              <w:top w:val="nil"/>
              <w:left w:val="nil"/>
              <w:bottom w:val="single" w:sz="8" w:space="0" w:color="auto"/>
              <w:right w:val="single" w:sz="4" w:space="0" w:color="auto"/>
            </w:tcBorders>
            <w:shd w:val="clear" w:color="auto" w:fill="auto"/>
            <w:noWrap/>
            <w:vAlign w:val="center"/>
            <w:hideMark/>
          </w:tcPr>
          <w:p w14:paraId="19B3D382"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145</w:t>
            </w:r>
          </w:p>
        </w:tc>
        <w:tc>
          <w:tcPr>
            <w:tcW w:w="3400" w:type="dxa"/>
            <w:tcBorders>
              <w:top w:val="nil"/>
              <w:left w:val="nil"/>
              <w:bottom w:val="single" w:sz="8" w:space="0" w:color="auto"/>
              <w:right w:val="single" w:sz="8" w:space="0" w:color="auto"/>
            </w:tcBorders>
            <w:shd w:val="clear" w:color="auto" w:fill="auto"/>
            <w:noWrap/>
            <w:vAlign w:val="center"/>
            <w:hideMark/>
          </w:tcPr>
          <w:p w14:paraId="22C5F3AD"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2,9</w:t>
            </w:r>
          </w:p>
        </w:tc>
      </w:tr>
    </w:tbl>
    <w:p w14:paraId="6802E40C" w14:textId="3CBCB0FD" w:rsidR="00081623" w:rsidRDefault="00081623" w:rsidP="00081623">
      <w:pPr>
        <w:pStyle w:val="Legenda"/>
      </w:pPr>
      <w:r>
        <w:t xml:space="preserve">Tabela </w:t>
      </w:r>
      <w:r>
        <w:fldChar w:fldCharType="begin"/>
      </w:r>
      <w:r>
        <w:instrText xml:space="preserve"> SEQ Tabela \* ARABIC </w:instrText>
      </w:r>
      <w:r>
        <w:fldChar w:fldCharType="separate"/>
      </w:r>
      <w:r w:rsidR="00440F8F">
        <w:rPr>
          <w:noProof/>
        </w:rPr>
        <w:t>6</w:t>
      </w:r>
      <w:r>
        <w:fldChar w:fldCharType="end"/>
      </w:r>
      <w:r>
        <w:t xml:space="preserve"> </w:t>
      </w:r>
      <w:r w:rsidRPr="0055431D">
        <w:t>Powiaty o najwyższym wskaźniku napływu bezrobotnych na jedno zgłoszone miejsce pracy</w:t>
      </w:r>
    </w:p>
    <w:tbl>
      <w:tblPr>
        <w:tblW w:w="10220" w:type="dxa"/>
        <w:tblCellMar>
          <w:left w:w="70" w:type="dxa"/>
          <w:right w:w="70" w:type="dxa"/>
        </w:tblCellMar>
        <w:tblLook w:val="04A0" w:firstRow="1" w:lastRow="0" w:firstColumn="1" w:lastColumn="0" w:noHBand="0" w:noVBand="1"/>
      </w:tblPr>
      <w:tblGrid>
        <w:gridCol w:w="380"/>
        <w:gridCol w:w="2280"/>
        <w:gridCol w:w="2320"/>
        <w:gridCol w:w="1840"/>
        <w:gridCol w:w="3400"/>
      </w:tblGrid>
      <w:tr w:rsidR="00081623" w:rsidRPr="00081623" w14:paraId="75A4468E" w14:textId="77777777" w:rsidTr="00081623">
        <w:trPr>
          <w:trHeight w:val="732"/>
        </w:trPr>
        <w:tc>
          <w:tcPr>
            <w:tcW w:w="380" w:type="dxa"/>
            <w:tcBorders>
              <w:top w:val="single" w:sz="8" w:space="0" w:color="auto"/>
              <w:left w:val="single" w:sz="8" w:space="0" w:color="auto"/>
              <w:bottom w:val="nil"/>
              <w:right w:val="single" w:sz="4" w:space="0" w:color="auto"/>
            </w:tcBorders>
            <w:shd w:val="clear" w:color="auto" w:fill="auto"/>
            <w:vAlign w:val="center"/>
            <w:hideMark/>
          </w:tcPr>
          <w:p w14:paraId="4419F807" w14:textId="77777777" w:rsidR="00081623" w:rsidRPr="00081623" w:rsidRDefault="00081623" w:rsidP="00081623">
            <w:pPr>
              <w:spacing w:before="0" w:after="0" w:line="240" w:lineRule="auto"/>
              <w:rPr>
                <w:rFonts w:ascii="Calibri" w:eastAsia="Times New Roman" w:hAnsi="Calibri" w:cs="Calibri"/>
                <w:b/>
                <w:bCs/>
                <w:color w:val="auto"/>
                <w:sz w:val="18"/>
                <w:szCs w:val="18"/>
                <w:lang w:eastAsia="pl-PL"/>
              </w:rPr>
            </w:pPr>
            <w:r w:rsidRPr="00081623">
              <w:rPr>
                <w:rFonts w:ascii="Calibri" w:eastAsia="Times New Roman" w:hAnsi="Calibri" w:cs="Calibri"/>
                <w:b/>
                <w:bCs/>
                <w:color w:val="auto"/>
                <w:sz w:val="18"/>
                <w:szCs w:val="18"/>
                <w:lang w:eastAsia="pl-PL"/>
              </w:rPr>
              <w:t>Lp.</w:t>
            </w:r>
          </w:p>
        </w:tc>
        <w:tc>
          <w:tcPr>
            <w:tcW w:w="2280" w:type="dxa"/>
            <w:tcBorders>
              <w:top w:val="single" w:sz="8" w:space="0" w:color="auto"/>
              <w:left w:val="nil"/>
              <w:bottom w:val="nil"/>
              <w:right w:val="single" w:sz="4" w:space="0" w:color="auto"/>
            </w:tcBorders>
            <w:shd w:val="clear" w:color="auto" w:fill="auto"/>
            <w:vAlign w:val="center"/>
            <w:hideMark/>
          </w:tcPr>
          <w:p w14:paraId="334D067A" w14:textId="77777777" w:rsidR="00081623" w:rsidRPr="00081623" w:rsidRDefault="00081623" w:rsidP="00081623">
            <w:pPr>
              <w:spacing w:before="0" w:after="0" w:line="240" w:lineRule="auto"/>
              <w:rPr>
                <w:rFonts w:ascii="Calibri" w:eastAsia="Times New Roman" w:hAnsi="Calibri" w:cs="Calibri"/>
                <w:b/>
                <w:bCs/>
                <w:color w:val="auto"/>
                <w:sz w:val="18"/>
                <w:szCs w:val="18"/>
                <w:lang w:eastAsia="pl-PL"/>
              </w:rPr>
            </w:pPr>
            <w:r w:rsidRPr="00081623">
              <w:rPr>
                <w:rFonts w:ascii="Calibri" w:eastAsia="Times New Roman" w:hAnsi="Calibri" w:cs="Calibri"/>
                <w:b/>
                <w:bCs/>
                <w:color w:val="auto"/>
                <w:sz w:val="18"/>
                <w:szCs w:val="18"/>
                <w:lang w:eastAsia="pl-PL"/>
              </w:rPr>
              <w:t>Powiat</w:t>
            </w:r>
          </w:p>
        </w:tc>
        <w:tc>
          <w:tcPr>
            <w:tcW w:w="2320" w:type="dxa"/>
            <w:tcBorders>
              <w:top w:val="single" w:sz="8" w:space="0" w:color="auto"/>
              <w:left w:val="nil"/>
              <w:bottom w:val="nil"/>
              <w:right w:val="single" w:sz="4" w:space="0" w:color="auto"/>
            </w:tcBorders>
            <w:shd w:val="clear" w:color="auto" w:fill="auto"/>
            <w:vAlign w:val="center"/>
            <w:hideMark/>
          </w:tcPr>
          <w:p w14:paraId="2CFE394F" w14:textId="77777777" w:rsidR="00081623" w:rsidRPr="00081623" w:rsidRDefault="00081623" w:rsidP="00081623">
            <w:pPr>
              <w:spacing w:before="0" w:after="0" w:line="240" w:lineRule="auto"/>
              <w:rPr>
                <w:rFonts w:ascii="Calibri" w:eastAsia="Times New Roman" w:hAnsi="Calibri" w:cs="Calibri"/>
                <w:b/>
                <w:bCs/>
                <w:color w:val="auto"/>
                <w:sz w:val="18"/>
                <w:szCs w:val="18"/>
                <w:lang w:eastAsia="pl-PL"/>
              </w:rPr>
            </w:pPr>
            <w:r w:rsidRPr="00081623">
              <w:rPr>
                <w:rFonts w:ascii="Calibri" w:eastAsia="Times New Roman" w:hAnsi="Calibri" w:cs="Calibri"/>
                <w:b/>
                <w:bCs/>
                <w:color w:val="auto"/>
                <w:sz w:val="18"/>
                <w:szCs w:val="18"/>
                <w:lang w:eastAsia="pl-PL"/>
              </w:rPr>
              <w:t>Liczba zgłoszonych ofert zatrudnienia w lutym 2026</w:t>
            </w:r>
          </w:p>
        </w:tc>
        <w:tc>
          <w:tcPr>
            <w:tcW w:w="1840" w:type="dxa"/>
            <w:tcBorders>
              <w:top w:val="single" w:sz="8" w:space="0" w:color="auto"/>
              <w:left w:val="nil"/>
              <w:bottom w:val="nil"/>
              <w:right w:val="single" w:sz="4" w:space="0" w:color="auto"/>
            </w:tcBorders>
            <w:shd w:val="clear" w:color="auto" w:fill="auto"/>
            <w:vAlign w:val="center"/>
            <w:hideMark/>
          </w:tcPr>
          <w:p w14:paraId="2FE94E03" w14:textId="77777777" w:rsidR="00081623" w:rsidRPr="00081623" w:rsidRDefault="00081623" w:rsidP="00081623">
            <w:pPr>
              <w:spacing w:before="0" w:after="0" w:line="240" w:lineRule="auto"/>
              <w:rPr>
                <w:rFonts w:ascii="Calibri" w:eastAsia="Times New Roman" w:hAnsi="Calibri" w:cs="Calibri"/>
                <w:b/>
                <w:bCs/>
                <w:color w:val="auto"/>
                <w:sz w:val="18"/>
                <w:szCs w:val="18"/>
                <w:lang w:eastAsia="pl-PL"/>
              </w:rPr>
            </w:pPr>
            <w:r w:rsidRPr="00081623">
              <w:rPr>
                <w:rFonts w:ascii="Calibri" w:eastAsia="Times New Roman" w:hAnsi="Calibri" w:cs="Calibri"/>
                <w:b/>
                <w:bCs/>
                <w:color w:val="auto"/>
                <w:sz w:val="18"/>
                <w:szCs w:val="18"/>
                <w:lang w:eastAsia="pl-PL"/>
              </w:rPr>
              <w:t>Napływ bezrobotnych</w:t>
            </w:r>
            <w:r w:rsidRPr="00081623">
              <w:rPr>
                <w:rFonts w:ascii="Calibri" w:eastAsia="Times New Roman" w:hAnsi="Calibri" w:cs="Calibri"/>
                <w:b/>
                <w:bCs/>
                <w:color w:val="auto"/>
                <w:sz w:val="18"/>
                <w:szCs w:val="18"/>
                <w:lang w:eastAsia="pl-PL"/>
              </w:rPr>
              <w:br/>
              <w:t>w lutym 2026</w:t>
            </w:r>
          </w:p>
        </w:tc>
        <w:tc>
          <w:tcPr>
            <w:tcW w:w="3400" w:type="dxa"/>
            <w:tcBorders>
              <w:top w:val="single" w:sz="8" w:space="0" w:color="auto"/>
              <w:left w:val="nil"/>
              <w:bottom w:val="nil"/>
              <w:right w:val="single" w:sz="8" w:space="0" w:color="auto"/>
            </w:tcBorders>
            <w:shd w:val="clear" w:color="auto" w:fill="auto"/>
            <w:vAlign w:val="center"/>
            <w:hideMark/>
          </w:tcPr>
          <w:p w14:paraId="2462996A" w14:textId="77777777" w:rsidR="00081623" w:rsidRPr="00081623" w:rsidRDefault="00081623" w:rsidP="00081623">
            <w:pPr>
              <w:spacing w:before="0" w:after="0" w:line="240" w:lineRule="auto"/>
              <w:rPr>
                <w:rFonts w:ascii="Calibri" w:eastAsia="Times New Roman" w:hAnsi="Calibri" w:cs="Calibri"/>
                <w:b/>
                <w:bCs/>
                <w:color w:val="auto"/>
                <w:sz w:val="18"/>
                <w:szCs w:val="18"/>
                <w:lang w:eastAsia="pl-PL"/>
              </w:rPr>
            </w:pPr>
            <w:r w:rsidRPr="00081623">
              <w:rPr>
                <w:rFonts w:ascii="Calibri" w:eastAsia="Times New Roman" w:hAnsi="Calibri" w:cs="Calibri"/>
                <w:b/>
                <w:bCs/>
                <w:color w:val="auto"/>
                <w:sz w:val="18"/>
                <w:szCs w:val="18"/>
                <w:lang w:eastAsia="pl-PL"/>
              </w:rPr>
              <w:t>Liczba nowo zarejestrowanych bezrobotnych przypadających na jedną ofertę zatrudnienia</w:t>
            </w:r>
          </w:p>
        </w:tc>
      </w:tr>
      <w:tr w:rsidR="00081623" w:rsidRPr="00081623" w14:paraId="2BC9E26F" w14:textId="77777777" w:rsidTr="00081623">
        <w:trPr>
          <w:trHeight w:val="240"/>
        </w:trPr>
        <w:tc>
          <w:tcPr>
            <w:tcW w:w="3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A33A7A1"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w:t>
            </w:r>
          </w:p>
        </w:tc>
        <w:tc>
          <w:tcPr>
            <w:tcW w:w="2280" w:type="dxa"/>
            <w:tcBorders>
              <w:top w:val="single" w:sz="8" w:space="0" w:color="auto"/>
              <w:left w:val="nil"/>
              <w:bottom w:val="single" w:sz="4" w:space="0" w:color="auto"/>
              <w:right w:val="single" w:sz="4" w:space="0" w:color="auto"/>
            </w:tcBorders>
            <w:shd w:val="clear" w:color="auto" w:fill="auto"/>
            <w:noWrap/>
            <w:vAlign w:val="center"/>
            <w:hideMark/>
          </w:tcPr>
          <w:p w14:paraId="6AB290A5"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Oławski</w:t>
            </w:r>
          </w:p>
        </w:tc>
        <w:tc>
          <w:tcPr>
            <w:tcW w:w="2320" w:type="dxa"/>
            <w:tcBorders>
              <w:top w:val="single" w:sz="8" w:space="0" w:color="auto"/>
              <w:left w:val="nil"/>
              <w:bottom w:val="single" w:sz="4" w:space="0" w:color="auto"/>
              <w:right w:val="single" w:sz="4" w:space="0" w:color="auto"/>
            </w:tcBorders>
            <w:shd w:val="clear" w:color="auto" w:fill="auto"/>
            <w:noWrap/>
            <w:vAlign w:val="center"/>
            <w:hideMark/>
          </w:tcPr>
          <w:p w14:paraId="5F63FCE1"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9</w:t>
            </w:r>
          </w:p>
        </w:tc>
        <w:tc>
          <w:tcPr>
            <w:tcW w:w="1840" w:type="dxa"/>
            <w:tcBorders>
              <w:top w:val="single" w:sz="8" w:space="0" w:color="auto"/>
              <w:left w:val="nil"/>
              <w:bottom w:val="single" w:sz="4" w:space="0" w:color="auto"/>
              <w:right w:val="single" w:sz="4" w:space="0" w:color="auto"/>
            </w:tcBorders>
            <w:shd w:val="clear" w:color="auto" w:fill="auto"/>
            <w:noWrap/>
            <w:vAlign w:val="center"/>
            <w:hideMark/>
          </w:tcPr>
          <w:p w14:paraId="19E93602"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212</w:t>
            </w:r>
          </w:p>
        </w:tc>
        <w:tc>
          <w:tcPr>
            <w:tcW w:w="3400" w:type="dxa"/>
            <w:tcBorders>
              <w:top w:val="single" w:sz="8" w:space="0" w:color="auto"/>
              <w:left w:val="nil"/>
              <w:bottom w:val="single" w:sz="4" w:space="0" w:color="auto"/>
              <w:right w:val="single" w:sz="8" w:space="0" w:color="auto"/>
            </w:tcBorders>
            <w:shd w:val="clear" w:color="auto" w:fill="auto"/>
            <w:noWrap/>
            <w:vAlign w:val="center"/>
            <w:hideMark/>
          </w:tcPr>
          <w:p w14:paraId="22C99E48"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23,6</w:t>
            </w:r>
          </w:p>
        </w:tc>
      </w:tr>
      <w:tr w:rsidR="00081623" w:rsidRPr="00081623" w14:paraId="28A830CD" w14:textId="77777777" w:rsidTr="00081623">
        <w:trPr>
          <w:trHeight w:val="240"/>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7B009197"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2</w:t>
            </w:r>
          </w:p>
        </w:tc>
        <w:tc>
          <w:tcPr>
            <w:tcW w:w="2280" w:type="dxa"/>
            <w:tcBorders>
              <w:top w:val="nil"/>
              <w:left w:val="nil"/>
              <w:bottom w:val="single" w:sz="4" w:space="0" w:color="auto"/>
              <w:right w:val="single" w:sz="4" w:space="0" w:color="auto"/>
            </w:tcBorders>
            <w:shd w:val="clear" w:color="auto" w:fill="auto"/>
            <w:noWrap/>
            <w:vAlign w:val="center"/>
            <w:hideMark/>
          </w:tcPr>
          <w:p w14:paraId="5FDE42D1"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Ząbkowicki</w:t>
            </w:r>
          </w:p>
        </w:tc>
        <w:tc>
          <w:tcPr>
            <w:tcW w:w="2320" w:type="dxa"/>
            <w:tcBorders>
              <w:top w:val="nil"/>
              <w:left w:val="nil"/>
              <w:bottom w:val="single" w:sz="4" w:space="0" w:color="auto"/>
              <w:right w:val="single" w:sz="4" w:space="0" w:color="auto"/>
            </w:tcBorders>
            <w:shd w:val="clear" w:color="auto" w:fill="auto"/>
            <w:noWrap/>
            <w:vAlign w:val="center"/>
            <w:hideMark/>
          </w:tcPr>
          <w:p w14:paraId="6CB63A98"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14</w:t>
            </w:r>
          </w:p>
        </w:tc>
        <w:tc>
          <w:tcPr>
            <w:tcW w:w="1840" w:type="dxa"/>
            <w:tcBorders>
              <w:top w:val="nil"/>
              <w:left w:val="nil"/>
              <w:bottom w:val="single" w:sz="4" w:space="0" w:color="auto"/>
              <w:right w:val="single" w:sz="4" w:space="0" w:color="auto"/>
            </w:tcBorders>
            <w:shd w:val="clear" w:color="auto" w:fill="auto"/>
            <w:noWrap/>
            <w:vAlign w:val="center"/>
            <w:hideMark/>
          </w:tcPr>
          <w:p w14:paraId="25F2BDED"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240</w:t>
            </w:r>
          </w:p>
        </w:tc>
        <w:tc>
          <w:tcPr>
            <w:tcW w:w="3400" w:type="dxa"/>
            <w:tcBorders>
              <w:top w:val="nil"/>
              <w:left w:val="nil"/>
              <w:bottom w:val="single" w:sz="4" w:space="0" w:color="auto"/>
              <w:right w:val="single" w:sz="8" w:space="0" w:color="auto"/>
            </w:tcBorders>
            <w:shd w:val="clear" w:color="auto" w:fill="auto"/>
            <w:noWrap/>
            <w:vAlign w:val="center"/>
            <w:hideMark/>
          </w:tcPr>
          <w:p w14:paraId="6C6CE55E"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17,1</w:t>
            </w:r>
          </w:p>
        </w:tc>
      </w:tr>
      <w:tr w:rsidR="00081623" w:rsidRPr="00081623" w14:paraId="0163B75C" w14:textId="77777777" w:rsidTr="00081623">
        <w:trPr>
          <w:trHeight w:val="240"/>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5764E071"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3</w:t>
            </w:r>
          </w:p>
        </w:tc>
        <w:tc>
          <w:tcPr>
            <w:tcW w:w="2280" w:type="dxa"/>
            <w:tcBorders>
              <w:top w:val="nil"/>
              <w:left w:val="nil"/>
              <w:bottom w:val="single" w:sz="4" w:space="0" w:color="auto"/>
              <w:right w:val="single" w:sz="4" w:space="0" w:color="auto"/>
            </w:tcBorders>
            <w:shd w:val="clear" w:color="auto" w:fill="auto"/>
            <w:noWrap/>
            <w:vAlign w:val="center"/>
            <w:hideMark/>
          </w:tcPr>
          <w:p w14:paraId="54034330"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Wałbrzyski ziemski</w:t>
            </w:r>
          </w:p>
        </w:tc>
        <w:tc>
          <w:tcPr>
            <w:tcW w:w="2320" w:type="dxa"/>
            <w:tcBorders>
              <w:top w:val="nil"/>
              <w:left w:val="nil"/>
              <w:bottom w:val="single" w:sz="4" w:space="0" w:color="auto"/>
              <w:right w:val="single" w:sz="4" w:space="0" w:color="auto"/>
            </w:tcBorders>
            <w:shd w:val="clear" w:color="auto" w:fill="auto"/>
            <w:noWrap/>
            <w:vAlign w:val="center"/>
            <w:hideMark/>
          </w:tcPr>
          <w:p w14:paraId="1C35771C"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12</w:t>
            </w:r>
          </w:p>
        </w:tc>
        <w:tc>
          <w:tcPr>
            <w:tcW w:w="1840" w:type="dxa"/>
            <w:tcBorders>
              <w:top w:val="nil"/>
              <w:left w:val="nil"/>
              <w:bottom w:val="single" w:sz="4" w:space="0" w:color="auto"/>
              <w:right w:val="single" w:sz="4" w:space="0" w:color="auto"/>
            </w:tcBorders>
            <w:shd w:val="clear" w:color="auto" w:fill="auto"/>
            <w:noWrap/>
            <w:vAlign w:val="center"/>
            <w:hideMark/>
          </w:tcPr>
          <w:p w14:paraId="4A272B83"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194</w:t>
            </w:r>
          </w:p>
        </w:tc>
        <w:tc>
          <w:tcPr>
            <w:tcW w:w="3400" w:type="dxa"/>
            <w:tcBorders>
              <w:top w:val="nil"/>
              <w:left w:val="nil"/>
              <w:bottom w:val="single" w:sz="4" w:space="0" w:color="auto"/>
              <w:right w:val="single" w:sz="8" w:space="0" w:color="auto"/>
            </w:tcBorders>
            <w:shd w:val="clear" w:color="auto" w:fill="auto"/>
            <w:noWrap/>
            <w:vAlign w:val="center"/>
            <w:hideMark/>
          </w:tcPr>
          <w:p w14:paraId="5BBD1F39"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16,2</w:t>
            </w:r>
          </w:p>
        </w:tc>
      </w:tr>
      <w:tr w:rsidR="00081623" w:rsidRPr="00081623" w14:paraId="4D227488" w14:textId="77777777" w:rsidTr="00081623">
        <w:trPr>
          <w:trHeight w:val="240"/>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697DFC3E"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4</w:t>
            </w:r>
          </w:p>
        </w:tc>
        <w:tc>
          <w:tcPr>
            <w:tcW w:w="2280" w:type="dxa"/>
            <w:tcBorders>
              <w:top w:val="nil"/>
              <w:left w:val="nil"/>
              <w:bottom w:val="single" w:sz="4" w:space="0" w:color="auto"/>
              <w:right w:val="single" w:sz="4" w:space="0" w:color="auto"/>
            </w:tcBorders>
            <w:shd w:val="clear" w:color="auto" w:fill="auto"/>
            <w:noWrap/>
            <w:vAlign w:val="center"/>
            <w:hideMark/>
          </w:tcPr>
          <w:p w14:paraId="2142BCBB"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Dzierżoniowski</w:t>
            </w:r>
          </w:p>
        </w:tc>
        <w:tc>
          <w:tcPr>
            <w:tcW w:w="2320" w:type="dxa"/>
            <w:tcBorders>
              <w:top w:val="nil"/>
              <w:left w:val="nil"/>
              <w:bottom w:val="single" w:sz="4" w:space="0" w:color="auto"/>
              <w:right w:val="single" w:sz="4" w:space="0" w:color="auto"/>
            </w:tcBorders>
            <w:shd w:val="clear" w:color="auto" w:fill="auto"/>
            <w:noWrap/>
            <w:vAlign w:val="center"/>
            <w:hideMark/>
          </w:tcPr>
          <w:p w14:paraId="184F0796"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25</w:t>
            </w:r>
          </w:p>
        </w:tc>
        <w:tc>
          <w:tcPr>
            <w:tcW w:w="1840" w:type="dxa"/>
            <w:tcBorders>
              <w:top w:val="nil"/>
              <w:left w:val="nil"/>
              <w:bottom w:val="single" w:sz="4" w:space="0" w:color="auto"/>
              <w:right w:val="single" w:sz="4" w:space="0" w:color="auto"/>
            </w:tcBorders>
            <w:shd w:val="clear" w:color="auto" w:fill="auto"/>
            <w:noWrap/>
            <w:vAlign w:val="center"/>
            <w:hideMark/>
          </w:tcPr>
          <w:p w14:paraId="2AE2BB11"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323</w:t>
            </w:r>
          </w:p>
        </w:tc>
        <w:tc>
          <w:tcPr>
            <w:tcW w:w="3400" w:type="dxa"/>
            <w:tcBorders>
              <w:top w:val="nil"/>
              <w:left w:val="nil"/>
              <w:bottom w:val="single" w:sz="4" w:space="0" w:color="auto"/>
              <w:right w:val="single" w:sz="8" w:space="0" w:color="auto"/>
            </w:tcBorders>
            <w:shd w:val="clear" w:color="auto" w:fill="auto"/>
            <w:noWrap/>
            <w:vAlign w:val="center"/>
            <w:hideMark/>
          </w:tcPr>
          <w:p w14:paraId="572F5025"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12,9</w:t>
            </w:r>
          </w:p>
        </w:tc>
      </w:tr>
      <w:tr w:rsidR="00081623" w:rsidRPr="00081623" w14:paraId="0FA04E84" w14:textId="77777777" w:rsidTr="00081623">
        <w:trPr>
          <w:trHeight w:val="240"/>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3DDD5E1F"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5</w:t>
            </w:r>
          </w:p>
        </w:tc>
        <w:tc>
          <w:tcPr>
            <w:tcW w:w="2280" w:type="dxa"/>
            <w:tcBorders>
              <w:top w:val="nil"/>
              <w:left w:val="nil"/>
              <w:bottom w:val="single" w:sz="4" w:space="0" w:color="auto"/>
              <w:right w:val="single" w:sz="4" w:space="0" w:color="auto"/>
            </w:tcBorders>
            <w:shd w:val="clear" w:color="auto" w:fill="auto"/>
            <w:noWrap/>
            <w:vAlign w:val="center"/>
            <w:hideMark/>
          </w:tcPr>
          <w:p w14:paraId="7070A77F"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Wrocławski-ziemski</w:t>
            </w:r>
          </w:p>
        </w:tc>
        <w:tc>
          <w:tcPr>
            <w:tcW w:w="2320" w:type="dxa"/>
            <w:tcBorders>
              <w:top w:val="nil"/>
              <w:left w:val="nil"/>
              <w:bottom w:val="single" w:sz="4" w:space="0" w:color="auto"/>
              <w:right w:val="single" w:sz="4" w:space="0" w:color="auto"/>
            </w:tcBorders>
            <w:shd w:val="clear" w:color="auto" w:fill="auto"/>
            <w:noWrap/>
            <w:vAlign w:val="center"/>
            <w:hideMark/>
          </w:tcPr>
          <w:p w14:paraId="2CD6A3FB"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21</w:t>
            </w:r>
          </w:p>
        </w:tc>
        <w:tc>
          <w:tcPr>
            <w:tcW w:w="1840" w:type="dxa"/>
            <w:tcBorders>
              <w:top w:val="nil"/>
              <w:left w:val="nil"/>
              <w:bottom w:val="single" w:sz="4" w:space="0" w:color="auto"/>
              <w:right w:val="single" w:sz="4" w:space="0" w:color="auto"/>
            </w:tcBorders>
            <w:shd w:val="clear" w:color="auto" w:fill="auto"/>
            <w:noWrap/>
            <w:vAlign w:val="center"/>
            <w:hideMark/>
          </w:tcPr>
          <w:p w14:paraId="415D9CF0"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261</w:t>
            </w:r>
          </w:p>
        </w:tc>
        <w:tc>
          <w:tcPr>
            <w:tcW w:w="3400" w:type="dxa"/>
            <w:tcBorders>
              <w:top w:val="nil"/>
              <w:left w:val="nil"/>
              <w:bottom w:val="single" w:sz="4" w:space="0" w:color="auto"/>
              <w:right w:val="single" w:sz="8" w:space="0" w:color="auto"/>
            </w:tcBorders>
            <w:shd w:val="clear" w:color="auto" w:fill="auto"/>
            <w:noWrap/>
            <w:vAlign w:val="center"/>
            <w:hideMark/>
          </w:tcPr>
          <w:p w14:paraId="3F5A8B57"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12,4</w:t>
            </w:r>
          </w:p>
        </w:tc>
      </w:tr>
      <w:tr w:rsidR="00081623" w:rsidRPr="00081623" w14:paraId="1C267C2A" w14:textId="77777777" w:rsidTr="00081623">
        <w:trPr>
          <w:trHeight w:val="252"/>
        </w:trPr>
        <w:tc>
          <w:tcPr>
            <w:tcW w:w="380" w:type="dxa"/>
            <w:tcBorders>
              <w:top w:val="nil"/>
              <w:left w:val="single" w:sz="8" w:space="0" w:color="auto"/>
              <w:bottom w:val="single" w:sz="8" w:space="0" w:color="auto"/>
              <w:right w:val="single" w:sz="4" w:space="0" w:color="auto"/>
            </w:tcBorders>
            <w:shd w:val="clear" w:color="auto" w:fill="auto"/>
            <w:noWrap/>
            <w:vAlign w:val="center"/>
            <w:hideMark/>
          </w:tcPr>
          <w:p w14:paraId="13F0E37D"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6</w:t>
            </w:r>
          </w:p>
        </w:tc>
        <w:tc>
          <w:tcPr>
            <w:tcW w:w="2280" w:type="dxa"/>
            <w:tcBorders>
              <w:top w:val="nil"/>
              <w:left w:val="nil"/>
              <w:bottom w:val="single" w:sz="8" w:space="0" w:color="auto"/>
              <w:right w:val="single" w:sz="4" w:space="0" w:color="auto"/>
            </w:tcBorders>
            <w:shd w:val="clear" w:color="auto" w:fill="auto"/>
            <w:noWrap/>
            <w:vAlign w:val="center"/>
            <w:hideMark/>
          </w:tcPr>
          <w:p w14:paraId="1B53FB78"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Oleśnicki</w:t>
            </w:r>
          </w:p>
        </w:tc>
        <w:tc>
          <w:tcPr>
            <w:tcW w:w="2320" w:type="dxa"/>
            <w:tcBorders>
              <w:top w:val="nil"/>
              <w:left w:val="nil"/>
              <w:bottom w:val="single" w:sz="8" w:space="0" w:color="auto"/>
              <w:right w:val="single" w:sz="4" w:space="0" w:color="auto"/>
            </w:tcBorders>
            <w:shd w:val="clear" w:color="auto" w:fill="auto"/>
            <w:noWrap/>
            <w:vAlign w:val="center"/>
            <w:hideMark/>
          </w:tcPr>
          <w:p w14:paraId="7FE2E1E3"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29</w:t>
            </w:r>
          </w:p>
        </w:tc>
        <w:tc>
          <w:tcPr>
            <w:tcW w:w="1840" w:type="dxa"/>
            <w:tcBorders>
              <w:top w:val="nil"/>
              <w:left w:val="nil"/>
              <w:bottom w:val="single" w:sz="8" w:space="0" w:color="auto"/>
              <w:right w:val="single" w:sz="4" w:space="0" w:color="auto"/>
            </w:tcBorders>
            <w:shd w:val="clear" w:color="auto" w:fill="auto"/>
            <w:noWrap/>
            <w:vAlign w:val="center"/>
            <w:hideMark/>
          </w:tcPr>
          <w:p w14:paraId="3E00C39E"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321</w:t>
            </w:r>
          </w:p>
        </w:tc>
        <w:tc>
          <w:tcPr>
            <w:tcW w:w="3400" w:type="dxa"/>
            <w:tcBorders>
              <w:top w:val="nil"/>
              <w:left w:val="nil"/>
              <w:bottom w:val="single" w:sz="8" w:space="0" w:color="auto"/>
              <w:right w:val="single" w:sz="8" w:space="0" w:color="auto"/>
            </w:tcBorders>
            <w:shd w:val="clear" w:color="auto" w:fill="auto"/>
            <w:noWrap/>
            <w:vAlign w:val="center"/>
            <w:hideMark/>
          </w:tcPr>
          <w:p w14:paraId="3E5D4B81" w14:textId="77777777" w:rsidR="00081623" w:rsidRPr="00081623" w:rsidRDefault="00081623" w:rsidP="00081623">
            <w:pPr>
              <w:spacing w:before="0" w:after="0" w:line="240" w:lineRule="auto"/>
              <w:rPr>
                <w:rFonts w:ascii="Calibri" w:eastAsia="Times New Roman" w:hAnsi="Calibri" w:cs="Calibri"/>
                <w:color w:val="auto"/>
                <w:sz w:val="18"/>
                <w:szCs w:val="18"/>
                <w:lang w:eastAsia="pl-PL"/>
              </w:rPr>
            </w:pPr>
            <w:r w:rsidRPr="00081623">
              <w:rPr>
                <w:rFonts w:ascii="Calibri" w:eastAsia="Times New Roman" w:hAnsi="Calibri" w:cs="Calibri"/>
                <w:color w:val="auto"/>
                <w:sz w:val="18"/>
                <w:szCs w:val="18"/>
                <w:lang w:eastAsia="pl-PL"/>
              </w:rPr>
              <w:t>11,1</w:t>
            </w:r>
          </w:p>
        </w:tc>
      </w:tr>
    </w:tbl>
    <w:p w14:paraId="5719D08F" w14:textId="4530F0CF" w:rsidR="00D8329B" w:rsidRPr="00865D41" w:rsidRDefault="00FA2D56" w:rsidP="00031AE8">
      <w:pPr>
        <w:pStyle w:val="Nagwek1"/>
      </w:pPr>
      <w:r w:rsidRPr="00865D41">
        <w:lastRenderedPageBreak/>
        <w:t>Stopa bezrobocia</w:t>
      </w:r>
    </w:p>
    <w:p w14:paraId="64E3E43C" w14:textId="6EB441B1" w:rsidR="00401936" w:rsidRDefault="00401936" w:rsidP="00B36777">
      <w:pPr>
        <w:pStyle w:val="Legenda"/>
        <w:rPr>
          <w:iCs w:val="0"/>
          <w:color w:val="000000" w:themeColor="text1"/>
          <w:sz w:val="22"/>
          <w:szCs w:val="20"/>
        </w:rPr>
      </w:pPr>
      <w:r w:rsidRPr="00401936">
        <w:rPr>
          <w:iCs w:val="0"/>
          <w:color w:val="000000" w:themeColor="text1"/>
          <w:sz w:val="22"/>
          <w:szCs w:val="20"/>
        </w:rPr>
        <w:t xml:space="preserve">Na koniec lutego 2026 r. stopa bezrobocia rejestrowanego w województwie dolnośląskim wyniosła ok. 5,7%, co oznacza wzrost o około 0,1 pkt proc. w porównaniu z końcem stycznia 2026 r. Pomimo wzrostu, poziom bezrobocia w regionie pozostawał niższy od średniej krajowej, która w tym samym okresie ukształtowała się na poziomie 6,1%. </w:t>
      </w:r>
    </w:p>
    <w:p w14:paraId="43968580" w14:textId="5610E2D4" w:rsidR="00401936" w:rsidRDefault="00401936" w:rsidP="00B36777">
      <w:pPr>
        <w:pStyle w:val="Legenda"/>
        <w:rPr>
          <w:iCs w:val="0"/>
          <w:color w:val="000000" w:themeColor="text1"/>
          <w:sz w:val="22"/>
          <w:szCs w:val="20"/>
        </w:rPr>
      </w:pPr>
      <w:r w:rsidRPr="00401936">
        <w:rPr>
          <w:iCs w:val="0"/>
          <w:color w:val="000000" w:themeColor="text1"/>
          <w:sz w:val="22"/>
          <w:szCs w:val="20"/>
        </w:rPr>
        <w:t>Analiza terytorialnego zróżnicowania stopy bezrobocia wskazuje na wyraźną polaryzację sytuacji na regionalnym rynku pracy. Najniższe wartości wskaźnika odnotowano w obszarach silnie zurbanizowanych oraz w bezpośrednim zapleczu metropolii wrocławskiej. W powiecie wrocławskim ziemskim stopa bezrobocia wynosiła około 2,2%, natomiast w mieście Wrocław kształtowała się na poziomie około 2,</w:t>
      </w:r>
      <w:r>
        <w:rPr>
          <w:iCs w:val="0"/>
          <w:color w:val="000000" w:themeColor="text1"/>
          <w:sz w:val="22"/>
          <w:szCs w:val="20"/>
        </w:rPr>
        <w:t>4</w:t>
      </w:r>
      <w:r w:rsidRPr="00401936">
        <w:rPr>
          <w:iCs w:val="0"/>
          <w:color w:val="000000" w:themeColor="text1"/>
          <w:sz w:val="22"/>
          <w:szCs w:val="20"/>
        </w:rPr>
        <w:t xml:space="preserve">%. W ujęciu miesiąc do miesiąca w tych jednostkach nie zaobserwowano istotnych zmian – wzrost stopy bezrobocia, jeśli wystąpił, był minimalny i nieprzekraczający 0,1 pkt proc., co wskazuje na względną stabilizację rynku pracy w tej części regionu. Relatywnie niskim bezrobociem charakteryzowały się również powiaty o rozwiniętej bazie przemysłowej i inwestycyjnej, w tym powiat polkowicki </w:t>
      </w:r>
      <w:r>
        <w:rPr>
          <w:iCs w:val="0"/>
          <w:color w:val="000000" w:themeColor="text1"/>
          <w:sz w:val="22"/>
          <w:szCs w:val="20"/>
        </w:rPr>
        <w:t xml:space="preserve">(4,8%) </w:t>
      </w:r>
      <w:r w:rsidRPr="00401936">
        <w:rPr>
          <w:iCs w:val="0"/>
          <w:color w:val="000000" w:themeColor="text1"/>
          <w:sz w:val="22"/>
          <w:szCs w:val="20"/>
        </w:rPr>
        <w:t>oraz lubiński</w:t>
      </w:r>
      <w:r>
        <w:rPr>
          <w:iCs w:val="0"/>
          <w:color w:val="000000" w:themeColor="text1"/>
          <w:sz w:val="22"/>
          <w:szCs w:val="20"/>
        </w:rPr>
        <w:t xml:space="preserve"> (5,4%)</w:t>
      </w:r>
      <w:r w:rsidRPr="00401936">
        <w:rPr>
          <w:iCs w:val="0"/>
          <w:color w:val="000000" w:themeColor="text1"/>
          <w:sz w:val="22"/>
          <w:szCs w:val="20"/>
        </w:rPr>
        <w:t xml:space="preserve">, gdzie stopa bezrobocia pozostawała wyraźnie poniżej średniej wojewódzkiej. </w:t>
      </w:r>
    </w:p>
    <w:p w14:paraId="45B84FC7" w14:textId="1ACF96BA" w:rsidR="00401936" w:rsidRDefault="00401936" w:rsidP="00401936">
      <w:r w:rsidRPr="00401936">
        <w:t>Na przeciwnym biegunie znalazły się powiaty o najwyższej stopie bezrobocia, zlokalizowane głównie w północnej i południowej części województwa. Najwyższą stopę bezrobocia odnotowano w powiecie górowskim, gdzie wskaźnik osiągnął poziom około 17,1%, co oznaczało wzrost w porównaniu z poprzednim miesiącem</w:t>
      </w:r>
      <w:r>
        <w:t xml:space="preserve"> o 0,2 punkty procentowe</w:t>
      </w:r>
      <w:r w:rsidRPr="00401936">
        <w:t>. Wysokie wartości wskaźnika występowały również w powiecie złotoryjskim (15,2%), powiecie kłodzkim (14,1%) oraz powiecie strzelińskim (12,6%). W tych jednostkach wzrost stopy bezrobocia w lutym 2026 r. był bardziej wyraźny niż w pozostałych częściach województwa, co potwierdza ich większą wrażliwość na sezonowe ograniczenie popytu na pracę.</w:t>
      </w:r>
    </w:p>
    <w:p w14:paraId="2E6B3601" w14:textId="7E8AA5BF" w:rsidR="00173D4E" w:rsidRDefault="00551AE6" w:rsidP="00401936">
      <w:r w:rsidRPr="00551AE6">
        <w:t xml:space="preserve">Różnica pomiędzy powiatem o najniższej (ok. 2,2%) i najwyższej (ok. 17,1%) stopie bezrobocia </w:t>
      </w:r>
      <w:r w:rsidR="00B04465">
        <w:t>jest bliska 15</w:t>
      </w:r>
      <w:r w:rsidRPr="00551AE6">
        <w:t xml:space="preserve"> pkt proc., co jednoznacznie potwierdza utrzymującą się silną polaryzację regionalnego rynku pracy w województwie dolnośląskim.</w:t>
      </w:r>
    </w:p>
    <w:p w14:paraId="52F82DFE" w14:textId="17E649B5" w:rsidR="00B36777" w:rsidRDefault="00B36777" w:rsidP="00B36777">
      <w:pPr>
        <w:pStyle w:val="Legenda"/>
      </w:pPr>
      <w:r>
        <w:t xml:space="preserve">Mapa </w:t>
      </w:r>
      <w:r>
        <w:fldChar w:fldCharType="begin"/>
      </w:r>
      <w:r>
        <w:instrText xml:space="preserve"> SEQ Mapa \* ARABIC </w:instrText>
      </w:r>
      <w:r>
        <w:fldChar w:fldCharType="separate"/>
      </w:r>
      <w:r w:rsidR="00440F8F">
        <w:rPr>
          <w:noProof/>
        </w:rPr>
        <w:t>1</w:t>
      </w:r>
      <w:r>
        <w:fldChar w:fldCharType="end"/>
      </w:r>
      <w:r>
        <w:t xml:space="preserve"> </w:t>
      </w:r>
      <w:r w:rsidRPr="000C0892">
        <w:t>Stopa bezrobocia w województwie dolnośląskim oraz w kraju, w lutym 2026 roku</w:t>
      </w:r>
    </w:p>
    <w:p w14:paraId="76CC1DCF" w14:textId="0E1DA7E5" w:rsidR="00464258" w:rsidRDefault="00B36777" w:rsidP="00A006AF">
      <w:pPr>
        <w:rPr>
          <w:noProof/>
        </w:rPr>
      </w:pPr>
      <w:r>
        <w:rPr>
          <w:noProof/>
        </w:rPr>
        <w:drawing>
          <wp:inline distT="0" distB="0" distL="0" distR="0" wp14:anchorId="781DF44F" wp14:editId="2030571A">
            <wp:extent cx="2880000" cy="2557115"/>
            <wp:effectExtent l="19050" t="19050" r="15875" b="15240"/>
            <wp:docPr id="1" name="Obraz 1" descr="Mapa 1 Stopa bezrobocia według powiatów, stan na koniec lutego 2026 roku&#10;Stopa bezrobocia:&#10;Polska – 6,0%&#10;Województwo dolnośląskie – 5,6%&#10;Dane dla poszczególnych powiatów województwa dolnośląskiego:&#10;bolesławiecki – 4,5%&#10;dzierżoniowski – 8,4% &#10;głogowski – 8,0%&#10;górowski – 17,1%&#10;jaworski – 12,0%&#10;karkonoski – 9,2%&#10;kamiennogórski –9,4%&#10;kłodzki – 14,1%&#10;legnicki – 8,3%&#10;lubański – 7,9%&#10;lubiński – 5,4%&#10;lwówecki – 10,4%&#10;milicki – 8,0%&#10;oleśnicki – 7,5%&#10;oławski – 5,5%&#10;polkowicki – 4,8%&#10;strzeliński – 12,6%&#10;średzki – 6,1%&#10;świdnicki – 7,9%&#10;trzebnicki – 6,3%&#10;wałbrzyski – 12,1%&#10;wołowski – 11,6%&#10;wrocławski – 2,2%&#10;ząbkowicki – 12,2%&#10;zgorzelecki – 5,9%&#10;złotoryjski – 15,2%&#10;Miasta na prawach powiatu:&#10;Jelenia Góra – 4,9%&#10;Legnica – 6,0%&#10;Wrocław – 2,4%&#10;Wałbrzych – 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apa 1 Stopa bezrobocia według powiatów, stan na koniec lutego 2026 roku&#10;Stopa bezrobocia:&#10;Polska – 6,0%&#10;Województwo dolnośląskie – 5,6%&#10;Dane dla poszczególnych powiatów województwa dolnośląskiego:&#10;bolesławiecki – 4,5%&#10;dzierżoniowski – 8,4% &#10;głogowski – 8,0%&#10;górowski – 17,1%&#10;jaworski – 12,0%&#10;karkonoski – 9,2%&#10;kamiennogórski –9,4%&#10;kłodzki – 14,1%&#10;legnicki – 8,3%&#10;lubański – 7,9%&#10;lubiński – 5,4%&#10;lwówecki – 10,4%&#10;milicki – 8,0%&#10;oleśnicki – 7,5%&#10;oławski – 5,5%&#10;polkowicki – 4,8%&#10;strzeliński – 12,6%&#10;średzki – 6,1%&#10;świdnicki – 7,9%&#10;trzebnicki – 6,3%&#10;wałbrzyski – 12,1%&#10;wołowski – 11,6%&#10;wrocławski – 2,2%&#10;ząbkowicki – 12,2%&#10;zgorzelecki – 5,9%&#10;złotoryjski – 15,2%&#10;Miasta na prawach powiatu:&#10;Jelenia Góra – 4,9%&#10;Legnica – 6,0%&#10;Wrocław – 2,4%&#10;Wałbrzych – 6,6%&#10;"/>
                    <pic:cNvPicPr/>
                  </pic:nvPicPr>
                  <pic:blipFill>
                    <a:blip r:embed="rId15"/>
                    <a:stretch>
                      <a:fillRect/>
                    </a:stretch>
                  </pic:blipFill>
                  <pic:spPr>
                    <a:xfrm>
                      <a:off x="0" y="0"/>
                      <a:ext cx="2880000" cy="2557115"/>
                    </a:xfrm>
                    <a:prstGeom prst="rect">
                      <a:avLst/>
                    </a:prstGeom>
                    <a:ln>
                      <a:solidFill>
                        <a:schemeClr val="bg1">
                          <a:lumMod val="95000"/>
                        </a:schemeClr>
                      </a:solidFill>
                    </a:ln>
                  </pic:spPr>
                </pic:pic>
              </a:graphicData>
            </a:graphic>
          </wp:inline>
        </w:drawing>
      </w:r>
      <w:r w:rsidRPr="00B36777">
        <w:rPr>
          <w:noProof/>
        </w:rPr>
        <w:t xml:space="preserve"> </w:t>
      </w:r>
      <w:r>
        <w:rPr>
          <w:noProof/>
        </w:rPr>
        <w:drawing>
          <wp:inline distT="0" distB="0" distL="0" distR="0" wp14:anchorId="31A3A725" wp14:editId="46D1EF0D">
            <wp:extent cx="2617107" cy="2542206"/>
            <wp:effectExtent l="19050" t="19050" r="12065" b="10795"/>
            <wp:docPr id="15" name="Obraz 15" descr="Średnia dla kraju:&#10;Polska – 6,1%&#10;Województwa (w kolejności podanej przez użytkownika):&#10;Dolnośląskie – 5,7%&#10;Kujawsko-Pomorskie – 8,3%&#10;Lubelskie – 8,6%&#10;Lubuskie – 6,2%&#10;Łódzkie – 6,7%&#10;Małopolskie – 5,0%&#10;Opolskie – 6,8%&#10;Podkarpackie – 9,6%&#10;Podlaskie – 7,8%&#10;Pomorskie – 5,7%&#10;Śląskie – 4,8%&#10;Świętokrzyskie – 9,0%&#10;Warmińsko-Mazurskie – 10,1%&#10;Wielkopolskie – 3,9%&#10;Zachodniopomorskie – 8,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Średnia dla kraju:&#10;Polska – 6,1%&#10;Województwa (w kolejności podanej przez użytkownika):&#10;Dolnośląskie – 5,7%&#10;Kujawsko-Pomorskie – 8,3%&#10;Lubelskie – 8,6%&#10;Lubuskie – 6,2%&#10;Łódzkie – 6,7%&#10;Małopolskie – 5,0%&#10;Opolskie – 6,8%&#10;Podkarpackie – 9,6%&#10;Podlaskie – 7,8%&#10;Pomorskie – 5,7%&#10;Śląskie – 4,8%&#10;Świętokrzyskie – 9,0%&#10;Warmińsko-Mazurskie – 10,1%&#10;Wielkopolskie – 3,9%&#10;Zachodniopomorskie – 8,2%&#10;"/>
                    <pic:cNvPicPr/>
                  </pic:nvPicPr>
                  <pic:blipFill>
                    <a:blip r:embed="rId16"/>
                    <a:stretch>
                      <a:fillRect/>
                    </a:stretch>
                  </pic:blipFill>
                  <pic:spPr>
                    <a:xfrm>
                      <a:off x="0" y="0"/>
                      <a:ext cx="2626218" cy="2551056"/>
                    </a:xfrm>
                    <a:prstGeom prst="rect">
                      <a:avLst/>
                    </a:prstGeom>
                    <a:ln>
                      <a:solidFill>
                        <a:schemeClr val="bg1">
                          <a:lumMod val="95000"/>
                        </a:schemeClr>
                      </a:solidFill>
                    </a:ln>
                  </pic:spPr>
                </pic:pic>
              </a:graphicData>
            </a:graphic>
          </wp:inline>
        </w:drawing>
      </w:r>
    </w:p>
    <w:p w14:paraId="192ABF0C" w14:textId="4B5C68B4" w:rsidR="00551AE6" w:rsidRPr="00865D41" w:rsidRDefault="00551AE6" w:rsidP="00A006AF">
      <w:pPr>
        <w:rPr>
          <w:noProof/>
          <w:lang w:eastAsia="pl-PL"/>
        </w:rPr>
      </w:pPr>
      <w:r w:rsidRPr="00551AE6">
        <w:rPr>
          <w:noProof/>
          <w:lang w:eastAsia="pl-PL"/>
        </w:rPr>
        <w:t>Na koniec lutego 2026 r. stopa bezrobocia rejestrowanego w Polsce wyniosła 6,1%, co oznacza wzrost o 0,1 pkt proc. w porównaniu z końcem stycznia 2026 r. W ujęciu przestrzennym sytuacja na rynku pracy pozostawała silnie zróżnicowana pomiędzy województwami. Najniższą stopę bezrobocia odnotowano w województwie wielkopolskim (3,9%), natomiast najwyższe wartości wskaźnika występowały w województwie warmińsko</w:t>
      </w:r>
      <w:r w:rsidRPr="00551AE6">
        <w:rPr>
          <w:rFonts w:ascii="Cambria Math" w:hAnsi="Cambria Math" w:cs="Cambria Math"/>
          <w:noProof/>
          <w:lang w:eastAsia="pl-PL"/>
        </w:rPr>
        <w:t>‑</w:t>
      </w:r>
      <w:r w:rsidRPr="00551AE6">
        <w:rPr>
          <w:noProof/>
          <w:lang w:eastAsia="pl-PL"/>
        </w:rPr>
        <w:t>mazurskim, gdzie stopa bezrobocia si</w:t>
      </w:r>
      <w:r w:rsidRPr="00551AE6">
        <w:rPr>
          <w:rFonts w:ascii="Calibri" w:hAnsi="Calibri" w:cs="Calibri"/>
          <w:noProof/>
          <w:lang w:eastAsia="pl-PL"/>
        </w:rPr>
        <w:t>ę</w:t>
      </w:r>
      <w:r w:rsidRPr="00551AE6">
        <w:rPr>
          <w:noProof/>
          <w:lang w:eastAsia="pl-PL"/>
        </w:rPr>
        <w:t>gn</w:t>
      </w:r>
      <w:r w:rsidRPr="00551AE6">
        <w:rPr>
          <w:rFonts w:ascii="Calibri" w:hAnsi="Calibri" w:cs="Calibri"/>
          <w:noProof/>
          <w:lang w:eastAsia="pl-PL"/>
        </w:rPr>
        <w:t>ęł</w:t>
      </w:r>
      <w:r w:rsidRPr="00551AE6">
        <w:rPr>
          <w:noProof/>
          <w:lang w:eastAsia="pl-PL"/>
        </w:rPr>
        <w:t>a ok. 10,1%. W wi</w:t>
      </w:r>
      <w:r w:rsidRPr="00551AE6">
        <w:rPr>
          <w:rFonts w:ascii="Calibri" w:hAnsi="Calibri" w:cs="Calibri"/>
          <w:noProof/>
          <w:lang w:eastAsia="pl-PL"/>
        </w:rPr>
        <w:t>ę</w:t>
      </w:r>
      <w:r w:rsidRPr="00551AE6">
        <w:rPr>
          <w:noProof/>
          <w:lang w:eastAsia="pl-PL"/>
        </w:rPr>
        <w:t>kszo</w:t>
      </w:r>
      <w:r w:rsidRPr="00551AE6">
        <w:rPr>
          <w:rFonts w:ascii="Calibri" w:hAnsi="Calibri" w:cs="Calibri"/>
          <w:noProof/>
          <w:lang w:eastAsia="pl-PL"/>
        </w:rPr>
        <w:t>ś</w:t>
      </w:r>
      <w:r w:rsidRPr="00551AE6">
        <w:rPr>
          <w:noProof/>
          <w:lang w:eastAsia="pl-PL"/>
        </w:rPr>
        <w:t>ci wojew</w:t>
      </w:r>
      <w:r w:rsidRPr="00551AE6">
        <w:rPr>
          <w:rFonts w:ascii="Calibri" w:hAnsi="Calibri" w:cs="Calibri"/>
          <w:noProof/>
          <w:lang w:eastAsia="pl-PL"/>
        </w:rPr>
        <w:t>ó</w:t>
      </w:r>
      <w:r w:rsidRPr="00551AE6">
        <w:rPr>
          <w:noProof/>
          <w:lang w:eastAsia="pl-PL"/>
        </w:rPr>
        <w:t xml:space="preserve">dztw w lutym </w:t>
      </w:r>
      <w:r w:rsidRPr="00551AE6">
        <w:rPr>
          <w:noProof/>
          <w:lang w:eastAsia="pl-PL"/>
        </w:rPr>
        <w:lastRenderedPageBreak/>
        <w:t>obserwowano wzrost stopy bezrobocia, najczęściej w granicach 0,1–0,2 pkt proc., co potwierdza dominujący wpływ czynników sezonowych na krajowy rynek pracy.</w:t>
      </w:r>
    </w:p>
    <w:p w14:paraId="54898C85" w14:textId="44F7399D" w:rsidR="00E95F76" w:rsidRPr="00865D41" w:rsidRDefault="00273E32" w:rsidP="00770CBA">
      <w:pPr>
        <w:spacing w:before="1440" w:after="0"/>
      </w:pPr>
      <w:r>
        <w:t>Alina Zaręba</w:t>
      </w:r>
    </w:p>
    <w:p w14:paraId="3BE0AE92" w14:textId="2426D9DB" w:rsidR="00E95F76" w:rsidRPr="00865D41" w:rsidRDefault="00C96FD6" w:rsidP="00704846">
      <w:pPr>
        <w:spacing w:before="0" w:after="0"/>
      </w:pPr>
      <w:r>
        <w:t>Zastępca Dyrektora</w:t>
      </w:r>
    </w:p>
    <w:p w14:paraId="4D52C7C7" w14:textId="54812265" w:rsidR="00F030C2" w:rsidRPr="00865D41" w:rsidRDefault="00DE00BD" w:rsidP="00704846">
      <w:pPr>
        <w:spacing w:before="0" w:after="0"/>
      </w:pPr>
      <w:r w:rsidRPr="00865D41">
        <w:t>Wojewódzkiego Urząd</w:t>
      </w:r>
      <w:r w:rsidR="00040DE3" w:rsidRPr="00865D41">
        <w:t xml:space="preserve"> Pracy</w:t>
      </w:r>
      <w:r w:rsidR="00B259AE">
        <w:t xml:space="preserve"> we Wrocławiu</w:t>
      </w:r>
    </w:p>
    <w:p w14:paraId="3B2972CB" w14:textId="68FA207A" w:rsidR="00C37355" w:rsidRPr="00865D41" w:rsidRDefault="005A19B8" w:rsidP="00F030C2">
      <w:pPr>
        <w:spacing w:before="1920" w:after="0"/>
      </w:pPr>
      <w:r w:rsidRPr="00865D41">
        <w:t xml:space="preserve">Opracowano w Wydziale Analiz i Statystyki Rynku Pracy </w:t>
      </w:r>
    </w:p>
    <w:p w14:paraId="79373C90" w14:textId="653B5756" w:rsidR="005A19B8" w:rsidRPr="00865D41" w:rsidRDefault="005A19B8" w:rsidP="00704846">
      <w:pPr>
        <w:spacing w:before="0" w:after="0"/>
      </w:pPr>
      <w:r w:rsidRPr="00865D41">
        <w:t>Wojewódzki</w:t>
      </w:r>
      <w:r w:rsidR="00040DE3" w:rsidRPr="00865D41">
        <w:t xml:space="preserve"> Urzą</w:t>
      </w:r>
      <w:r w:rsidRPr="00865D41">
        <w:t>d Pracy</w:t>
      </w:r>
      <w:r w:rsidR="00704846">
        <w:t xml:space="preserve"> we Wrocławiu</w:t>
      </w:r>
    </w:p>
    <w:p w14:paraId="571B5BA5" w14:textId="781B8783" w:rsidR="005A19B8" w:rsidRDefault="005A19B8" w:rsidP="00704846">
      <w:pPr>
        <w:spacing w:before="0" w:after="0"/>
      </w:pPr>
      <w:r w:rsidRPr="00865D41">
        <w:t>Wrocław,</w:t>
      </w:r>
      <w:r w:rsidR="00A5225D" w:rsidRPr="00865D41">
        <w:t xml:space="preserve"> </w:t>
      </w:r>
      <w:r w:rsidR="00B04465">
        <w:t>9</w:t>
      </w:r>
      <w:r w:rsidR="00824B96">
        <w:t xml:space="preserve"> kwietnia</w:t>
      </w:r>
      <w:r w:rsidRPr="00865D41">
        <w:t xml:space="preserve"> </w:t>
      </w:r>
      <w:r w:rsidR="00A5225D" w:rsidRPr="00865D41">
        <w:t>202</w:t>
      </w:r>
      <w:r w:rsidR="00AD7577" w:rsidRPr="00865D41">
        <w:t>6</w:t>
      </w:r>
      <w:r w:rsidRPr="00865D41">
        <w:t xml:space="preserve"> r.</w:t>
      </w:r>
    </w:p>
    <w:p w14:paraId="40822110" w14:textId="20BCF241" w:rsidR="00C37355" w:rsidRPr="00865D41" w:rsidRDefault="00C37355" w:rsidP="00704846">
      <w:pPr>
        <w:spacing w:before="0" w:after="0"/>
      </w:pPr>
      <w:r>
        <w:t>Tel. Kontaktowy 71 39 74 198</w:t>
      </w:r>
    </w:p>
    <w:p w14:paraId="4F97A22E" w14:textId="77777777" w:rsidR="004549B9" w:rsidRPr="00865D41" w:rsidRDefault="004549B9" w:rsidP="00A006AF">
      <w:r w:rsidRPr="00865D41">
        <w:br w:type="page"/>
      </w:r>
    </w:p>
    <w:p w14:paraId="0735A55E" w14:textId="77777777" w:rsidR="00493FA0" w:rsidRPr="00865D41" w:rsidRDefault="00FA2D56" w:rsidP="00704846">
      <w:pPr>
        <w:pStyle w:val="Nagwek1"/>
      </w:pPr>
      <w:r w:rsidRPr="00865D41">
        <w:lastRenderedPageBreak/>
        <w:t>Spis tabel:</w:t>
      </w:r>
    </w:p>
    <w:p w14:paraId="3015B4C8" w14:textId="5BCB9AAE" w:rsidR="00493FA0" w:rsidRPr="00865D41" w:rsidRDefault="00493FA0" w:rsidP="0097582E">
      <w:pPr>
        <w:pStyle w:val="Akapitzlist"/>
        <w:ind w:left="2835" w:hanging="2835"/>
      </w:pPr>
      <w:r w:rsidRPr="00704846">
        <w:rPr>
          <w:b/>
        </w:rPr>
        <w:t>Tabela 1.</w:t>
      </w:r>
      <w:r w:rsidRPr="00865D41">
        <w:tab/>
      </w:r>
      <w:r w:rsidRPr="00704846">
        <w:t>Liczba</w:t>
      </w:r>
      <w:r w:rsidRPr="00865D41">
        <w:t xml:space="preserve"> zarejestrowanych bezrobotnych w woje</w:t>
      </w:r>
      <w:r w:rsidR="001E1B00" w:rsidRPr="00865D41">
        <w:t xml:space="preserve">wództwie dolnośląskim </w:t>
      </w:r>
      <w:r w:rsidR="00464258" w:rsidRPr="00865D41">
        <w:t xml:space="preserve">w </w:t>
      </w:r>
      <w:r w:rsidR="00824B96">
        <w:t>lutym 2025-</w:t>
      </w:r>
      <w:r w:rsidR="00963E65" w:rsidRPr="00865D41">
        <w:t xml:space="preserve"> 202</w:t>
      </w:r>
      <w:r w:rsidR="005F1707">
        <w:t>6</w:t>
      </w:r>
      <w:r w:rsidRPr="00865D41">
        <w:t xml:space="preserve"> roku w porównaniu z</w:t>
      </w:r>
      <w:r w:rsidR="00A1434B" w:rsidRPr="00865D41">
        <w:t> </w:t>
      </w:r>
      <w:r w:rsidRPr="00865D41">
        <w:t>miesiącem poprzednim</w:t>
      </w:r>
      <w:r w:rsidR="00193B22" w:rsidRPr="00865D41">
        <w:t xml:space="preserve"> wg powiatów.</w:t>
      </w:r>
    </w:p>
    <w:p w14:paraId="4BC527E2" w14:textId="19260684" w:rsidR="00493FA0" w:rsidRPr="00865D41" w:rsidRDefault="00493FA0" w:rsidP="0097582E">
      <w:pPr>
        <w:pStyle w:val="Akapitzlist"/>
        <w:ind w:left="2835" w:hanging="2835"/>
      </w:pPr>
      <w:r w:rsidRPr="00865D41">
        <w:rPr>
          <w:b/>
        </w:rPr>
        <w:t>Tabela 2.</w:t>
      </w:r>
      <w:r w:rsidRPr="00865D41">
        <w:tab/>
        <w:t xml:space="preserve">Zestawienie </w:t>
      </w:r>
      <w:r w:rsidR="005F1707">
        <w:t xml:space="preserve">poziomu bezrobocia w województwie dolnośląskim w </w:t>
      </w:r>
      <w:r w:rsidR="00824B96">
        <w:t xml:space="preserve">lutym </w:t>
      </w:r>
      <w:r w:rsidR="005F1707">
        <w:t>2026 roku</w:t>
      </w:r>
      <w:r w:rsidRPr="00865D41">
        <w:t xml:space="preserve"> </w:t>
      </w:r>
      <w:r w:rsidR="00193B22" w:rsidRPr="00865D41">
        <w:t>w podziale na wybrane grupy</w:t>
      </w:r>
      <w:r w:rsidR="005F1707">
        <w:t xml:space="preserve"> bezrobotnych</w:t>
      </w:r>
      <w:r w:rsidRPr="00865D41">
        <w:t>.</w:t>
      </w:r>
    </w:p>
    <w:p w14:paraId="6597F106" w14:textId="2F53A040" w:rsidR="00193B22" w:rsidRPr="00865D41" w:rsidRDefault="00193B22" w:rsidP="0097582E">
      <w:pPr>
        <w:pStyle w:val="Akapitzlist"/>
        <w:ind w:left="2835" w:hanging="2835"/>
      </w:pPr>
      <w:r w:rsidRPr="00865D41">
        <w:rPr>
          <w:b/>
        </w:rPr>
        <w:t>Tabela 3.</w:t>
      </w:r>
      <w:r w:rsidRPr="00865D41">
        <w:tab/>
        <w:t xml:space="preserve">Udział </w:t>
      </w:r>
      <w:r w:rsidR="00824B96">
        <w:t>procentowy</w:t>
      </w:r>
      <w:r w:rsidRPr="00865D41">
        <w:t xml:space="preserve"> wybranych grup bezrobotnych w ogólnej liczbie bezrobotnych w województwie dolnośląskim </w:t>
      </w:r>
      <w:r w:rsidR="00464258" w:rsidRPr="00865D41">
        <w:t xml:space="preserve">w </w:t>
      </w:r>
      <w:r w:rsidR="00824B96">
        <w:t>lutym</w:t>
      </w:r>
      <w:r w:rsidR="005F1707">
        <w:t xml:space="preserve"> 2026 roku</w:t>
      </w:r>
      <w:r w:rsidRPr="00865D41">
        <w:t>.</w:t>
      </w:r>
      <w:r w:rsidR="005F1707">
        <w:t xml:space="preserve"> Liczba zarejestrowanych bezrobotnych w podziale na powiaty (stan na koniec miesiąca).</w:t>
      </w:r>
    </w:p>
    <w:p w14:paraId="401ED86D" w14:textId="0275D74E" w:rsidR="001E1B00" w:rsidRPr="00865D41" w:rsidRDefault="00193B22" w:rsidP="005F1707">
      <w:pPr>
        <w:pStyle w:val="Akapitzlist"/>
        <w:ind w:left="2835" w:hanging="2835"/>
      </w:pPr>
      <w:r w:rsidRPr="00865D41">
        <w:rPr>
          <w:b/>
        </w:rPr>
        <w:t>T</w:t>
      </w:r>
      <w:r w:rsidR="00493FA0" w:rsidRPr="00865D41">
        <w:rPr>
          <w:b/>
        </w:rPr>
        <w:t>abela 4.</w:t>
      </w:r>
      <w:r w:rsidR="00493FA0" w:rsidRPr="00865D41">
        <w:tab/>
      </w:r>
      <w:r w:rsidR="005F1707">
        <w:t xml:space="preserve">Napływ bezrobotnych w woj. dolnośląskim według podregionów i powiatów przypadający na 1 zgłoszone wolne miejsce pracy w </w:t>
      </w:r>
      <w:r w:rsidR="00824B96">
        <w:t>lutym</w:t>
      </w:r>
      <w:r w:rsidR="005F1707">
        <w:t xml:space="preserve"> 2026 roku</w:t>
      </w:r>
    </w:p>
    <w:p w14:paraId="7A61B5D2" w14:textId="6F9D274D" w:rsidR="00493FA0" w:rsidRPr="00865D41" w:rsidRDefault="00493FA0" w:rsidP="0097582E">
      <w:pPr>
        <w:pStyle w:val="Akapitzlist"/>
        <w:ind w:left="2835" w:hanging="2835"/>
      </w:pPr>
      <w:r w:rsidRPr="00865D41">
        <w:rPr>
          <w:b/>
        </w:rPr>
        <w:t>T</w:t>
      </w:r>
      <w:r w:rsidR="005F1707">
        <w:rPr>
          <w:b/>
        </w:rPr>
        <w:t>abela 5</w:t>
      </w:r>
      <w:r w:rsidRPr="00865D41">
        <w:rPr>
          <w:b/>
        </w:rPr>
        <w:t>.</w:t>
      </w:r>
      <w:r w:rsidRPr="00865D41">
        <w:tab/>
        <w:t>Zestawienie porównawcze stopy</w:t>
      </w:r>
      <w:r w:rsidR="001E1B00" w:rsidRPr="00865D41">
        <w:t xml:space="preserve"> bezrobocia według województw </w:t>
      </w:r>
      <w:r w:rsidR="00F22AD3">
        <w:t xml:space="preserve">w </w:t>
      </w:r>
      <w:r w:rsidR="005F1707">
        <w:t xml:space="preserve">styczniu </w:t>
      </w:r>
      <w:r w:rsidR="00F22AD3">
        <w:t xml:space="preserve">i lutym </w:t>
      </w:r>
      <w:r w:rsidR="005F1707">
        <w:t>2026.</w:t>
      </w:r>
    </w:p>
    <w:p w14:paraId="0366531B" w14:textId="2CC36E76" w:rsidR="00493FA0" w:rsidRPr="009F48CE" w:rsidRDefault="00493FA0" w:rsidP="009F48CE">
      <w:pPr>
        <w:pStyle w:val="Akapitzlist"/>
        <w:ind w:left="2835" w:hanging="2835"/>
      </w:pPr>
      <w:r w:rsidRPr="00865D41">
        <w:rPr>
          <w:b/>
        </w:rPr>
        <w:t xml:space="preserve">Tabela </w:t>
      </w:r>
      <w:r w:rsidR="005F1707">
        <w:rPr>
          <w:b/>
        </w:rPr>
        <w:t>6</w:t>
      </w:r>
      <w:r w:rsidRPr="00865D41">
        <w:rPr>
          <w:b/>
        </w:rPr>
        <w:t>.</w:t>
      </w:r>
      <w:r w:rsidRPr="00865D41">
        <w:tab/>
      </w:r>
      <w:r w:rsidR="00193B22" w:rsidRPr="00865D41">
        <w:t>Zestawienie porównawcze stopy bezroboci</w:t>
      </w:r>
      <w:r w:rsidR="00464258" w:rsidRPr="00865D41">
        <w:t xml:space="preserve">a w województwie dolnośląskim </w:t>
      </w:r>
      <w:r w:rsidR="009F1560" w:rsidRPr="00865D41">
        <w:t xml:space="preserve">w </w:t>
      </w:r>
      <w:r w:rsidR="005F1707">
        <w:t xml:space="preserve">styczniu </w:t>
      </w:r>
      <w:r w:rsidR="00F22AD3">
        <w:t xml:space="preserve">i lutym </w:t>
      </w:r>
      <w:r w:rsidR="005F1707">
        <w:t>2026</w:t>
      </w:r>
      <w:r w:rsidR="00193B22" w:rsidRPr="00865D41">
        <w:t>.</w:t>
      </w:r>
    </w:p>
    <w:sectPr w:rsidR="00493FA0" w:rsidRPr="009F48CE" w:rsidSect="00AD1D32">
      <w:footerReference w:type="default" r:id="rId17"/>
      <w:pgSz w:w="11906" w:h="16838"/>
      <w:pgMar w:top="639" w:right="851" w:bottom="1135" w:left="851" w:header="0" w:footer="6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FA7CF" w14:textId="77777777" w:rsidR="00285E44" w:rsidRDefault="00285E44" w:rsidP="00A006AF">
      <w:r>
        <w:separator/>
      </w:r>
    </w:p>
  </w:endnote>
  <w:endnote w:type="continuationSeparator" w:id="0">
    <w:p w14:paraId="6410BF00" w14:textId="77777777" w:rsidR="00285E44" w:rsidRDefault="00285E44" w:rsidP="00A0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668281"/>
      <w:docPartObj>
        <w:docPartGallery w:val="Page Numbers (Bottom of Page)"/>
        <w:docPartUnique/>
      </w:docPartObj>
    </w:sdtPr>
    <w:sdtEndPr>
      <w:rPr>
        <w:sz w:val="20"/>
      </w:rPr>
    </w:sdtEndPr>
    <w:sdtContent>
      <w:p w14:paraId="45AEDA4D" w14:textId="13DE7333" w:rsidR="00AD1D32" w:rsidRPr="00AD1D32" w:rsidRDefault="00AD1D32" w:rsidP="00AD1D32">
        <w:pPr>
          <w:pStyle w:val="Stopka"/>
          <w:spacing w:before="0" w:after="0" w:line="240" w:lineRule="auto"/>
          <w:jc w:val="right"/>
          <w:rPr>
            <w:sz w:val="20"/>
          </w:rPr>
        </w:pPr>
        <w:r w:rsidRPr="00AD1D32">
          <w:rPr>
            <w:sz w:val="20"/>
          </w:rPr>
          <w:fldChar w:fldCharType="begin"/>
        </w:r>
        <w:r w:rsidRPr="00AD1D32">
          <w:rPr>
            <w:sz w:val="20"/>
          </w:rPr>
          <w:instrText>PAGE   \* MERGEFORMAT</w:instrText>
        </w:r>
        <w:r w:rsidRPr="00AD1D32">
          <w:rPr>
            <w:sz w:val="20"/>
          </w:rPr>
          <w:fldChar w:fldCharType="separate"/>
        </w:r>
        <w:r w:rsidR="00680654">
          <w:rPr>
            <w:noProof/>
            <w:sz w:val="20"/>
          </w:rPr>
          <w:t>7</w:t>
        </w:r>
        <w:r w:rsidRPr="00AD1D32">
          <w:rPr>
            <w:sz w:val="20"/>
          </w:rPr>
          <w:fldChar w:fldCharType="end"/>
        </w:r>
      </w:p>
    </w:sdtContent>
  </w:sdt>
  <w:sdt>
    <w:sdtPr>
      <w:rPr>
        <w:sz w:val="18"/>
      </w:rPr>
      <w:alias w:val="Tytuł"/>
      <w:tag w:val=""/>
      <w:id w:val="-1302929778"/>
      <w:placeholder>
        <w:docPart w:val="4F284F530DC9494EA2557F2A8F924F6C"/>
      </w:placeholder>
      <w:dataBinding w:prefixMappings="xmlns:ns0='http://purl.org/dc/elements/1.1/' xmlns:ns1='http://schemas.openxmlformats.org/package/2006/metadata/core-properties' " w:xpath="/ns1:coreProperties[1]/ns0:title[1]" w:storeItemID="{6C3C8BC8-F283-45AE-878A-BAB7291924A1}"/>
      <w:text/>
    </w:sdtPr>
    <w:sdtContent>
      <w:p w14:paraId="72EB80F5" w14:textId="35B130B5" w:rsidR="00865D41" w:rsidRPr="00AD1D32" w:rsidRDefault="00AD1D32" w:rsidP="00AD1D32">
        <w:pPr>
          <w:spacing w:before="0" w:after="0" w:line="240" w:lineRule="auto"/>
          <w:jc w:val="center"/>
          <w:rPr>
            <w:sz w:val="18"/>
          </w:rPr>
        </w:pPr>
        <w:r>
          <w:rPr>
            <w:sz w:val="18"/>
          </w:rPr>
          <w:t xml:space="preserve">Informacja o sytuacji na rynku pracy w województwie dolnośląskim w </w:t>
        </w:r>
        <w:r w:rsidR="00A83D61">
          <w:rPr>
            <w:sz w:val="18"/>
          </w:rPr>
          <w:t xml:space="preserve">lutym </w:t>
        </w:r>
        <w:r w:rsidR="009B76ED">
          <w:rPr>
            <w:sz w:val="18"/>
          </w:rPr>
          <w:t>2026</w:t>
        </w:r>
        <w:r>
          <w:rPr>
            <w:sz w:val="18"/>
          </w:rPr>
          <w:t xml:space="preserve"> roku.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F2198" w14:textId="77777777" w:rsidR="00285E44" w:rsidRDefault="00285E44" w:rsidP="00A006AF">
      <w:r>
        <w:separator/>
      </w:r>
    </w:p>
  </w:footnote>
  <w:footnote w:type="continuationSeparator" w:id="0">
    <w:p w14:paraId="50FE7710" w14:textId="77777777" w:rsidR="00285E44" w:rsidRDefault="00285E44" w:rsidP="00A00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D2B"/>
    <w:multiLevelType w:val="multilevel"/>
    <w:tmpl w:val="7B28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57329"/>
    <w:multiLevelType w:val="multilevel"/>
    <w:tmpl w:val="5D54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70600"/>
    <w:multiLevelType w:val="multilevel"/>
    <w:tmpl w:val="D05E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E138F"/>
    <w:multiLevelType w:val="hybridMultilevel"/>
    <w:tmpl w:val="380A3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432441"/>
    <w:multiLevelType w:val="multilevel"/>
    <w:tmpl w:val="342A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63FBA"/>
    <w:multiLevelType w:val="multilevel"/>
    <w:tmpl w:val="9F3A036E"/>
    <w:lvl w:ilvl="0">
      <w:start w:val="1"/>
      <w:numFmt w:val="decimal"/>
      <w:lvlText w:val="%1."/>
      <w:lvlJc w:val="left"/>
      <w:pPr>
        <w:ind w:left="360" w:hanging="360"/>
      </w:pPr>
      <w:rPr>
        <w:sz w:val="22"/>
        <w:szCs w:val="2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270499"/>
    <w:multiLevelType w:val="hybridMultilevel"/>
    <w:tmpl w:val="62282FB4"/>
    <w:lvl w:ilvl="0" w:tplc="86168E1A">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D557A58"/>
    <w:multiLevelType w:val="hybridMultilevel"/>
    <w:tmpl w:val="31F86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D9A0970"/>
    <w:multiLevelType w:val="multilevel"/>
    <w:tmpl w:val="7334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734A6A"/>
    <w:multiLevelType w:val="hybridMultilevel"/>
    <w:tmpl w:val="31FE4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09854894">
    <w:abstractNumId w:val="9"/>
  </w:num>
  <w:num w:numId="2" w16cid:durableId="1416786660">
    <w:abstractNumId w:val="3"/>
  </w:num>
  <w:num w:numId="3" w16cid:durableId="1154489684">
    <w:abstractNumId w:val="5"/>
  </w:num>
  <w:num w:numId="4" w16cid:durableId="1202212356">
    <w:abstractNumId w:val="7"/>
  </w:num>
  <w:num w:numId="5" w16cid:durableId="1726677707">
    <w:abstractNumId w:val="8"/>
  </w:num>
  <w:num w:numId="6" w16cid:durableId="1469974657">
    <w:abstractNumId w:val="2"/>
  </w:num>
  <w:num w:numId="7" w16cid:durableId="860898129">
    <w:abstractNumId w:val="1"/>
  </w:num>
  <w:num w:numId="8" w16cid:durableId="913203105">
    <w:abstractNumId w:val="0"/>
  </w:num>
  <w:num w:numId="9" w16cid:durableId="903102153">
    <w:abstractNumId w:val="4"/>
  </w:num>
  <w:num w:numId="10" w16cid:durableId="1332879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155"/>
    <w:rsid w:val="00000F6B"/>
    <w:rsid w:val="0000405A"/>
    <w:rsid w:val="00004C0D"/>
    <w:rsid w:val="00006CDE"/>
    <w:rsid w:val="00006DB8"/>
    <w:rsid w:val="00012402"/>
    <w:rsid w:val="00021EAF"/>
    <w:rsid w:val="00022C67"/>
    <w:rsid w:val="00026491"/>
    <w:rsid w:val="00027611"/>
    <w:rsid w:val="00027B90"/>
    <w:rsid w:val="00031AE8"/>
    <w:rsid w:val="000325FA"/>
    <w:rsid w:val="00032F16"/>
    <w:rsid w:val="0003314C"/>
    <w:rsid w:val="00037900"/>
    <w:rsid w:val="0004020E"/>
    <w:rsid w:val="00040DE3"/>
    <w:rsid w:val="000414D7"/>
    <w:rsid w:val="0004223E"/>
    <w:rsid w:val="000422E6"/>
    <w:rsid w:val="00042B1E"/>
    <w:rsid w:val="00044FA1"/>
    <w:rsid w:val="0005016F"/>
    <w:rsid w:val="00051262"/>
    <w:rsid w:val="00056C31"/>
    <w:rsid w:val="00060444"/>
    <w:rsid w:val="000613AB"/>
    <w:rsid w:val="00066F8C"/>
    <w:rsid w:val="00067511"/>
    <w:rsid w:val="000703BB"/>
    <w:rsid w:val="00071752"/>
    <w:rsid w:val="00072F4F"/>
    <w:rsid w:val="00073B02"/>
    <w:rsid w:val="00074FBA"/>
    <w:rsid w:val="0007678C"/>
    <w:rsid w:val="000806FC"/>
    <w:rsid w:val="00081623"/>
    <w:rsid w:val="00081E99"/>
    <w:rsid w:val="00082C3D"/>
    <w:rsid w:val="000841A2"/>
    <w:rsid w:val="00087D57"/>
    <w:rsid w:val="0009196D"/>
    <w:rsid w:val="00091989"/>
    <w:rsid w:val="00093599"/>
    <w:rsid w:val="00093A82"/>
    <w:rsid w:val="00093F81"/>
    <w:rsid w:val="000940A2"/>
    <w:rsid w:val="00094A15"/>
    <w:rsid w:val="000966CA"/>
    <w:rsid w:val="00096FE5"/>
    <w:rsid w:val="000A212B"/>
    <w:rsid w:val="000A308C"/>
    <w:rsid w:val="000A762B"/>
    <w:rsid w:val="000B00CD"/>
    <w:rsid w:val="000B1720"/>
    <w:rsid w:val="000B1F0D"/>
    <w:rsid w:val="000B4878"/>
    <w:rsid w:val="000B538C"/>
    <w:rsid w:val="000B773D"/>
    <w:rsid w:val="000C10C4"/>
    <w:rsid w:val="000C6798"/>
    <w:rsid w:val="000C78D9"/>
    <w:rsid w:val="000C7AEA"/>
    <w:rsid w:val="000D1416"/>
    <w:rsid w:val="000D3BBE"/>
    <w:rsid w:val="000D3D2F"/>
    <w:rsid w:val="000D4DD2"/>
    <w:rsid w:val="000D54D8"/>
    <w:rsid w:val="000D6A79"/>
    <w:rsid w:val="000E0240"/>
    <w:rsid w:val="000E1581"/>
    <w:rsid w:val="000E15B5"/>
    <w:rsid w:val="000E412A"/>
    <w:rsid w:val="000F20E3"/>
    <w:rsid w:val="000F3C81"/>
    <w:rsid w:val="000F6981"/>
    <w:rsid w:val="00100DC2"/>
    <w:rsid w:val="00100FEC"/>
    <w:rsid w:val="001022E3"/>
    <w:rsid w:val="00103D95"/>
    <w:rsid w:val="00105AAD"/>
    <w:rsid w:val="00105B77"/>
    <w:rsid w:val="00105B7A"/>
    <w:rsid w:val="00107BC9"/>
    <w:rsid w:val="001100DA"/>
    <w:rsid w:val="001105C0"/>
    <w:rsid w:val="00111665"/>
    <w:rsid w:val="0011169D"/>
    <w:rsid w:val="0011185A"/>
    <w:rsid w:val="001137E8"/>
    <w:rsid w:val="001146E7"/>
    <w:rsid w:val="00114B84"/>
    <w:rsid w:val="00115260"/>
    <w:rsid w:val="001154A3"/>
    <w:rsid w:val="00116A3F"/>
    <w:rsid w:val="00116D27"/>
    <w:rsid w:val="0012091A"/>
    <w:rsid w:val="00122CA4"/>
    <w:rsid w:val="00123755"/>
    <w:rsid w:val="00123976"/>
    <w:rsid w:val="00125923"/>
    <w:rsid w:val="00125E91"/>
    <w:rsid w:val="001323BF"/>
    <w:rsid w:val="00132ABC"/>
    <w:rsid w:val="00132C33"/>
    <w:rsid w:val="0013348E"/>
    <w:rsid w:val="0013621D"/>
    <w:rsid w:val="00136EB5"/>
    <w:rsid w:val="001379E6"/>
    <w:rsid w:val="00137A59"/>
    <w:rsid w:val="00137A8C"/>
    <w:rsid w:val="00141647"/>
    <w:rsid w:val="00145B79"/>
    <w:rsid w:val="0014775F"/>
    <w:rsid w:val="00147BE9"/>
    <w:rsid w:val="0015027B"/>
    <w:rsid w:val="00151981"/>
    <w:rsid w:val="00152A9B"/>
    <w:rsid w:val="00152CD9"/>
    <w:rsid w:val="0015365A"/>
    <w:rsid w:val="00155822"/>
    <w:rsid w:val="00155CE0"/>
    <w:rsid w:val="00155ECE"/>
    <w:rsid w:val="0015777E"/>
    <w:rsid w:val="00160998"/>
    <w:rsid w:val="00163BF9"/>
    <w:rsid w:val="00165122"/>
    <w:rsid w:val="00165E2B"/>
    <w:rsid w:val="00167159"/>
    <w:rsid w:val="001673C7"/>
    <w:rsid w:val="00171E60"/>
    <w:rsid w:val="00172868"/>
    <w:rsid w:val="00173D4E"/>
    <w:rsid w:val="00175AD7"/>
    <w:rsid w:val="001761E8"/>
    <w:rsid w:val="00180545"/>
    <w:rsid w:val="00186984"/>
    <w:rsid w:val="001869D7"/>
    <w:rsid w:val="001937EF"/>
    <w:rsid w:val="00193B22"/>
    <w:rsid w:val="00193D33"/>
    <w:rsid w:val="00194A8D"/>
    <w:rsid w:val="001A1077"/>
    <w:rsid w:val="001A17EE"/>
    <w:rsid w:val="001A4258"/>
    <w:rsid w:val="001A5C9B"/>
    <w:rsid w:val="001A73F1"/>
    <w:rsid w:val="001B2658"/>
    <w:rsid w:val="001B53FE"/>
    <w:rsid w:val="001B695E"/>
    <w:rsid w:val="001B7B6F"/>
    <w:rsid w:val="001C19B2"/>
    <w:rsid w:val="001C21D8"/>
    <w:rsid w:val="001C374D"/>
    <w:rsid w:val="001C54AE"/>
    <w:rsid w:val="001C78D9"/>
    <w:rsid w:val="001D32CD"/>
    <w:rsid w:val="001D3ED9"/>
    <w:rsid w:val="001D3FEC"/>
    <w:rsid w:val="001D4759"/>
    <w:rsid w:val="001E1B00"/>
    <w:rsid w:val="001E250A"/>
    <w:rsid w:val="001E2A96"/>
    <w:rsid w:val="001E73A7"/>
    <w:rsid w:val="001F0CAA"/>
    <w:rsid w:val="001F4465"/>
    <w:rsid w:val="001F57F9"/>
    <w:rsid w:val="001F723F"/>
    <w:rsid w:val="00200357"/>
    <w:rsid w:val="00201365"/>
    <w:rsid w:val="00205545"/>
    <w:rsid w:val="00207B29"/>
    <w:rsid w:val="00215393"/>
    <w:rsid w:val="002166EB"/>
    <w:rsid w:val="00217661"/>
    <w:rsid w:val="00217D96"/>
    <w:rsid w:val="00221B2B"/>
    <w:rsid w:val="002220F9"/>
    <w:rsid w:val="00223900"/>
    <w:rsid w:val="00223E95"/>
    <w:rsid w:val="00224133"/>
    <w:rsid w:val="00224766"/>
    <w:rsid w:val="002247F5"/>
    <w:rsid w:val="002268FB"/>
    <w:rsid w:val="002271C7"/>
    <w:rsid w:val="00230E3E"/>
    <w:rsid w:val="00233905"/>
    <w:rsid w:val="00235289"/>
    <w:rsid w:val="00236AA4"/>
    <w:rsid w:val="002372C7"/>
    <w:rsid w:val="00241DF3"/>
    <w:rsid w:val="00241EA2"/>
    <w:rsid w:val="00242EB9"/>
    <w:rsid w:val="002432AE"/>
    <w:rsid w:val="00244EA1"/>
    <w:rsid w:val="00247003"/>
    <w:rsid w:val="00251234"/>
    <w:rsid w:val="00252A01"/>
    <w:rsid w:val="0025365B"/>
    <w:rsid w:val="00253A83"/>
    <w:rsid w:val="00254160"/>
    <w:rsid w:val="00254DF0"/>
    <w:rsid w:val="00255227"/>
    <w:rsid w:val="00256F0F"/>
    <w:rsid w:val="00260646"/>
    <w:rsid w:val="00261696"/>
    <w:rsid w:val="002645C5"/>
    <w:rsid w:val="00264966"/>
    <w:rsid w:val="00264C34"/>
    <w:rsid w:val="00270B3B"/>
    <w:rsid w:val="0027334B"/>
    <w:rsid w:val="00273E32"/>
    <w:rsid w:val="00274446"/>
    <w:rsid w:val="0027722A"/>
    <w:rsid w:val="002802E1"/>
    <w:rsid w:val="00281A0E"/>
    <w:rsid w:val="00283E12"/>
    <w:rsid w:val="00284407"/>
    <w:rsid w:val="00284FBA"/>
    <w:rsid w:val="00285E44"/>
    <w:rsid w:val="0028686C"/>
    <w:rsid w:val="002876D0"/>
    <w:rsid w:val="00290AD4"/>
    <w:rsid w:val="00290D3A"/>
    <w:rsid w:val="002914C2"/>
    <w:rsid w:val="00291C15"/>
    <w:rsid w:val="00292788"/>
    <w:rsid w:val="00293534"/>
    <w:rsid w:val="002973EE"/>
    <w:rsid w:val="002A15B4"/>
    <w:rsid w:val="002A2868"/>
    <w:rsid w:val="002A54AE"/>
    <w:rsid w:val="002A5B2D"/>
    <w:rsid w:val="002A6AF8"/>
    <w:rsid w:val="002A785B"/>
    <w:rsid w:val="002B2E2F"/>
    <w:rsid w:val="002B42A9"/>
    <w:rsid w:val="002B5767"/>
    <w:rsid w:val="002B75EF"/>
    <w:rsid w:val="002C0BEE"/>
    <w:rsid w:val="002C3455"/>
    <w:rsid w:val="002C376C"/>
    <w:rsid w:val="002C6C5A"/>
    <w:rsid w:val="002D0302"/>
    <w:rsid w:val="002D1806"/>
    <w:rsid w:val="002D5562"/>
    <w:rsid w:val="002D6427"/>
    <w:rsid w:val="002E0D86"/>
    <w:rsid w:val="002E2E53"/>
    <w:rsid w:val="002E541C"/>
    <w:rsid w:val="002E56D7"/>
    <w:rsid w:val="002E6A6E"/>
    <w:rsid w:val="002E6A9F"/>
    <w:rsid w:val="002E7DEE"/>
    <w:rsid w:val="002F0CED"/>
    <w:rsid w:val="002F2046"/>
    <w:rsid w:val="002F2084"/>
    <w:rsid w:val="002F53D6"/>
    <w:rsid w:val="002F6948"/>
    <w:rsid w:val="002F75C0"/>
    <w:rsid w:val="003003E4"/>
    <w:rsid w:val="003005E3"/>
    <w:rsid w:val="003010BC"/>
    <w:rsid w:val="00301D4A"/>
    <w:rsid w:val="0030501A"/>
    <w:rsid w:val="00307A18"/>
    <w:rsid w:val="00310A7D"/>
    <w:rsid w:val="00310D7B"/>
    <w:rsid w:val="00312F1B"/>
    <w:rsid w:val="00312F79"/>
    <w:rsid w:val="0031546D"/>
    <w:rsid w:val="00315696"/>
    <w:rsid w:val="00316C77"/>
    <w:rsid w:val="00316D2A"/>
    <w:rsid w:val="00317234"/>
    <w:rsid w:val="0032135D"/>
    <w:rsid w:val="00322617"/>
    <w:rsid w:val="0032361E"/>
    <w:rsid w:val="0032389F"/>
    <w:rsid w:val="00323F51"/>
    <w:rsid w:val="00325282"/>
    <w:rsid w:val="00325C04"/>
    <w:rsid w:val="00327580"/>
    <w:rsid w:val="00330696"/>
    <w:rsid w:val="00332137"/>
    <w:rsid w:val="00332726"/>
    <w:rsid w:val="00333E8E"/>
    <w:rsid w:val="003344BD"/>
    <w:rsid w:val="00334B5D"/>
    <w:rsid w:val="00335740"/>
    <w:rsid w:val="0033726B"/>
    <w:rsid w:val="00342E2A"/>
    <w:rsid w:val="003430AA"/>
    <w:rsid w:val="003459C0"/>
    <w:rsid w:val="00346384"/>
    <w:rsid w:val="0035058A"/>
    <w:rsid w:val="00350E01"/>
    <w:rsid w:val="00353453"/>
    <w:rsid w:val="00354529"/>
    <w:rsid w:val="00357007"/>
    <w:rsid w:val="003572D7"/>
    <w:rsid w:val="00360014"/>
    <w:rsid w:val="0036199A"/>
    <w:rsid w:val="00370A5F"/>
    <w:rsid w:val="00370AB5"/>
    <w:rsid w:val="00370F1E"/>
    <w:rsid w:val="003727D3"/>
    <w:rsid w:val="00374D95"/>
    <w:rsid w:val="003762ED"/>
    <w:rsid w:val="00376954"/>
    <w:rsid w:val="003777FD"/>
    <w:rsid w:val="00382E71"/>
    <w:rsid w:val="003835C2"/>
    <w:rsid w:val="00384826"/>
    <w:rsid w:val="00386FA4"/>
    <w:rsid w:val="00387A4F"/>
    <w:rsid w:val="00392283"/>
    <w:rsid w:val="00392D37"/>
    <w:rsid w:val="00397C20"/>
    <w:rsid w:val="00397C23"/>
    <w:rsid w:val="003A0D56"/>
    <w:rsid w:val="003A0E6E"/>
    <w:rsid w:val="003A7384"/>
    <w:rsid w:val="003B198B"/>
    <w:rsid w:val="003B2FD8"/>
    <w:rsid w:val="003B6245"/>
    <w:rsid w:val="003C01DC"/>
    <w:rsid w:val="003C08B4"/>
    <w:rsid w:val="003C1689"/>
    <w:rsid w:val="003C6C87"/>
    <w:rsid w:val="003D4D19"/>
    <w:rsid w:val="003D5D3D"/>
    <w:rsid w:val="003D617E"/>
    <w:rsid w:val="003D6A77"/>
    <w:rsid w:val="003D7612"/>
    <w:rsid w:val="003D794F"/>
    <w:rsid w:val="003D79EA"/>
    <w:rsid w:val="003E05A6"/>
    <w:rsid w:val="003E16FE"/>
    <w:rsid w:val="003E19C1"/>
    <w:rsid w:val="003E1CEC"/>
    <w:rsid w:val="003E610A"/>
    <w:rsid w:val="003F30B5"/>
    <w:rsid w:val="003F3324"/>
    <w:rsid w:val="003F64F8"/>
    <w:rsid w:val="003F7200"/>
    <w:rsid w:val="00400A54"/>
    <w:rsid w:val="00401936"/>
    <w:rsid w:val="00405285"/>
    <w:rsid w:val="004060F6"/>
    <w:rsid w:val="004101FF"/>
    <w:rsid w:val="004139C3"/>
    <w:rsid w:val="00415532"/>
    <w:rsid w:val="004167A1"/>
    <w:rsid w:val="00416EE6"/>
    <w:rsid w:val="00417026"/>
    <w:rsid w:val="004171C7"/>
    <w:rsid w:val="00417815"/>
    <w:rsid w:val="00420886"/>
    <w:rsid w:val="00422A46"/>
    <w:rsid w:val="00426363"/>
    <w:rsid w:val="00426880"/>
    <w:rsid w:val="00427125"/>
    <w:rsid w:val="00433ED1"/>
    <w:rsid w:val="00434072"/>
    <w:rsid w:val="00436178"/>
    <w:rsid w:val="00436FDA"/>
    <w:rsid w:val="00437561"/>
    <w:rsid w:val="00437E00"/>
    <w:rsid w:val="00440F8F"/>
    <w:rsid w:val="004414AE"/>
    <w:rsid w:val="004442BC"/>
    <w:rsid w:val="0044468E"/>
    <w:rsid w:val="0044472F"/>
    <w:rsid w:val="00451271"/>
    <w:rsid w:val="00451496"/>
    <w:rsid w:val="00451D78"/>
    <w:rsid w:val="004525E0"/>
    <w:rsid w:val="004549B9"/>
    <w:rsid w:val="0045611D"/>
    <w:rsid w:val="00457B1E"/>
    <w:rsid w:val="00461981"/>
    <w:rsid w:val="004631BA"/>
    <w:rsid w:val="00463D1E"/>
    <w:rsid w:val="00464258"/>
    <w:rsid w:val="00464EA1"/>
    <w:rsid w:val="004656B5"/>
    <w:rsid w:val="00466E8D"/>
    <w:rsid w:val="004711ED"/>
    <w:rsid w:val="0047187C"/>
    <w:rsid w:val="00472C62"/>
    <w:rsid w:val="0047583A"/>
    <w:rsid w:val="004769A7"/>
    <w:rsid w:val="0048139C"/>
    <w:rsid w:val="00481941"/>
    <w:rsid w:val="00481E63"/>
    <w:rsid w:val="00484871"/>
    <w:rsid w:val="00484C7F"/>
    <w:rsid w:val="00485150"/>
    <w:rsid w:val="00487293"/>
    <w:rsid w:val="004903C4"/>
    <w:rsid w:val="0049106E"/>
    <w:rsid w:val="00492C48"/>
    <w:rsid w:val="00493FA0"/>
    <w:rsid w:val="00494DB8"/>
    <w:rsid w:val="0049602A"/>
    <w:rsid w:val="004A01D8"/>
    <w:rsid w:val="004A2139"/>
    <w:rsid w:val="004A26F8"/>
    <w:rsid w:val="004A2870"/>
    <w:rsid w:val="004A4EA3"/>
    <w:rsid w:val="004A4EA8"/>
    <w:rsid w:val="004A5D78"/>
    <w:rsid w:val="004A6552"/>
    <w:rsid w:val="004A6B16"/>
    <w:rsid w:val="004A7087"/>
    <w:rsid w:val="004B0D3A"/>
    <w:rsid w:val="004B272B"/>
    <w:rsid w:val="004B36E1"/>
    <w:rsid w:val="004B5D55"/>
    <w:rsid w:val="004B6B46"/>
    <w:rsid w:val="004B6D12"/>
    <w:rsid w:val="004B7697"/>
    <w:rsid w:val="004C0CD7"/>
    <w:rsid w:val="004C15E6"/>
    <w:rsid w:val="004C528D"/>
    <w:rsid w:val="004D0E34"/>
    <w:rsid w:val="004D2747"/>
    <w:rsid w:val="004D4082"/>
    <w:rsid w:val="004D4261"/>
    <w:rsid w:val="004D501F"/>
    <w:rsid w:val="004D5163"/>
    <w:rsid w:val="004D589C"/>
    <w:rsid w:val="004D61FB"/>
    <w:rsid w:val="004D6C9E"/>
    <w:rsid w:val="004D7CE6"/>
    <w:rsid w:val="004E1ADB"/>
    <w:rsid w:val="004E2139"/>
    <w:rsid w:val="004E321D"/>
    <w:rsid w:val="004E360B"/>
    <w:rsid w:val="004E3F4C"/>
    <w:rsid w:val="004E4A12"/>
    <w:rsid w:val="004F1EFD"/>
    <w:rsid w:val="004F43F0"/>
    <w:rsid w:val="004F7D9C"/>
    <w:rsid w:val="00500703"/>
    <w:rsid w:val="00500F5E"/>
    <w:rsid w:val="00501B54"/>
    <w:rsid w:val="0050241A"/>
    <w:rsid w:val="00502E27"/>
    <w:rsid w:val="0050339B"/>
    <w:rsid w:val="00504041"/>
    <w:rsid w:val="0050486F"/>
    <w:rsid w:val="0050633A"/>
    <w:rsid w:val="00506D43"/>
    <w:rsid w:val="00506EFE"/>
    <w:rsid w:val="00507DF0"/>
    <w:rsid w:val="00511099"/>
    <w:rsid w:val="00512791"/>
    <w:rsid w:val="0051630D"/>
    <w:rsid w:val="005163DB"/>
    <w:rsid w:val="005175AC"/>
    <w:rsid w:val="00523586"/>
    <w:rsid w:val="00524A8D"/>
    <w:rsid w:val="005270D2"/>
    <w:rsid w:val="00530B05"/>
    <w:rsid w:val="00530C99"/>
    <w:rsid w:val="00533C67"/>
    <w:rsid w:val="005344A9"/>
    <w:rsid w:val="00534920"/>
    <w:rsid w:val="005420D5"/>
    <w:rsid w:val="005446B8"/>
    <w:rsid w:val="00544AE2"/>
    <w:rsid w:val="005512E2"/>
    <w:rsid w:val="00551AE6"/>
    <w:rsid w:val="0055452A"/>
    <w:rsid w:val="00554D6E"/>
    <w:rsid w:val="0055628C"/>
    <w:rsid w:val="00556C78"/>
    <w:rsid w:val="0056181D"/>
    <w:rsid w:val="00561BE3"/>
    <w:rsid w:val="0056602C"/>
    <w:rsid w:val="00566A9B"/>
    <w:rsid w:val="005679BD"/>
    <w:rsid w:val="00573EBE"/>
    <w:rsid w:val="00576514"/>
    <w:rsid w:val="005770D3"/>
    <w:rsid w:val="00581E6C"/>
    <w:rsid w:val="00582046"/>
    <w:rsid w:val="005826B4"/>
    <w:rsid w:val="00587B6F"/>
    <w:rsid w:val="00593C77"/>
    <w:rsid w:val="005A19B8"/>
    <w:rsid w:val="005A1A0E"/>
    <w:rsid w:val="005A1F4F"/>
    <w:rsid w:val="005A2606"/>
    <w:rsid w:val="005A4120"/>
    <w:rsid w:val="005B05AE"/>
    <w:rsid w:val="005B0DBC"/>
    <w:rsid w:val="005B2574"/>
    <w:rsid w:val="005B43AB"/>
    <w:rsid w:val="005B4649"/>
    <w:rsid w:val="005B6D4C"/>
    <w:rsid w:val="005B767B"/>
    <w:rsid w:val="005B7A6B"/>
    <w:rsid w:val="005C1A29"/>
    <w:rsid w:val="005C2F06"/>
    <w:rsid w:val="005C34A0"/>
    <w:rsid w:val="005C5D6A"/>
    <w:rsid w:val="005D133F"/>
    <w:rsid w:val="005D1C1B"/>
    <w:rsid w:val="005D24D0"/>
    <w:rsid w:val="005D2E13"/>
    <w:rsid w:val="005D301E"/>
    <w:rsid w:val="005D377B"/>
    <w:rsid w:val="005D4EEF"/>
    <w:rsid w:val="005D7291"/>
    <w:rsid w:val="005D7CF9"/>
    <w:rsid w:val="005E0BAE"/>
    <w:rsid w:val="005E0F5D"/>
    <w:rsid w:val="005E2AE1"/>
    <w:rsid w:val="005E3F87"/>
    <w:rsid w:val="005E429A"/>
    <w:rsid w:val="005E4C77"/>
    <w:rsid w:val="005E6826"/>
    <w:rsid w:val="005F1707"/>
    <w:rsid w:val="005F4E54"/>
    <w:rsid w:val="005F4F2C"/>
    <w:rsid w:val="005F558F"/>
    <w:rsid w:val="005F66AB"/>
    <w:rsid w:val="005F6CAB"/>
    <w:rsid w:val="005F7332"/>
    <w:rsid w:val="005F7753"/>
    <w:rsid w:val="00601B70"/>
    <w:rsid w:val="00603A44"/>
    <w:rsid w:val="00605345"/>
    <w:rsid w:val="00605AE5"/>
    <w:rsid w:val="00611212"/>
    <w:rsid w:val="00612336"/>
    <w:rsid w:val="00614AE9"/>
    <w:rsid w:val="0061716B"/>
    <w:rsid w:val="006178E7"/>
    <w:rsid w:val="00620107"/>
    <w:rsid w:val="00623460"/>
    <w:rsid w:val="00623A87"/>
    <w:rsid w:val="00627723"/>
    <w:rsid w:val="00630D28"/>
    <w:rsid w:val="0063417E"/>
    <w:rsid w:val="00637E71"/>
    <w:rsid w:val="006421D1"/>
    <w:rsid w:val="00642790"/>
    <w:rsid w:val="00645DB5"/>
    <w:rsid w:val="006476D2"/>
    <w:rsid w:val="006500F4"/>
    <w:rsid w:val="00651577"/>
    <w:rsid w:val="00652E7D"/>
    <w:rsid w:val="0065316D"/>
    <w:rsid w:val="006533EA"/>
    <w:rsid w:val="00653865"/>
    <w:rsid w:val="0065531F"/>
    <w:rsid w:val="00656166"/>
    <w:rsid w:val="00656545"/>
    <w:rsid w:val="00660C7E"/>
    <w:rsid w:val="0066424D"/>
    <w:rsid w:val="006651C3"/>
    <w:rsid w:val="0066684B"/>
    <w:rsid w:val="00666E73"/>
    <w:rsid w:val="00671513"/>
    <w:rsid w:val="006728B4"/>
    <w:rsid w:val="00672AF1"/>
    <w:rsid w:val="006735BE"/>
    <w:rsid w:val="00680582"/>
    <w:rsid w:val="00680654"/>
    <w:rsid w:val="00682155"/>
    <w:rsid w:val="00683F1F"/>
    <w:rsid w:val="0068479D"/>
    <w:rsid w:val="00684B48"/>
    <w:rsid w:val="00685815"/>
    <w:rsid w:val="00685C65"/>
    <w:rsid w:val="00685E2E"/>
    <w:rsid w:val="00686C3D"/>
    <w:rsid w:val="00687467"/>
    <w:rsid w:val="00691C1F"/>
    <w:rsid w:val="0069468C"/>
    <w:rsid w:val="006946E8"/>
    <w:rsid w:val="00696963"/>
    <w:rsid w:val="00696A52"/>
    <w:rsid w:val="00697DB5"/>
    <w:rsid w:val="006A07F2"/>
    <w:rsid w:val="006A1D80"/>
    <w:rsid w:val="006A3F98"/>
    <w:rsid w:val="006A4460"/>
    <w:rsid w:val="006A4D82"/>
    <w:rsid w:val="006B42DC"/>
    <w:rsid w:val="006B469B"/>
    <w:rsid w:val="006B477A"/>
    <w:rsid w:val="006B4C02"/>
    <w:rsid w:val="006B68FA"/>
    <w:rsid w:val="006B70FE"/>
    <w:rsid w:val="006B7FDA"/>
    <w:rsid w:val="006C0921"/>
    <w:rsid w:val="006C135D"/>
    <w:rsid w:val="006C3446"/>
    <w:rsid w:val="006C3E21"/>
    <w:rsid w:val="006C40E7"/>
    <w:rsid w:val="006C68E0"/>
    <w:rsid w:val="006C775A"/>
    <w:rsid w:val="006C79CA"/>
    <w:rsid w:val="006D009A"/>
    <w:rsid w:val="006D0796"/>
    <w:rsid w:val="006D0B07"/>
    <w:rsid w:val="006D235C"/>
    <w:rsid w:val="006D2EC8"/>
    <w:rsid w:val="006D3999"/>
    <w:rsid w:val="006D456F"/>
    <w:rsid w:val="006D5310"/>
    <w:rsid w:val="006D62C9"/>
    <w:rsid w:val="006D63FC"/>
    <w:rsid w:val="006D7C90"/>
    <w:rsid w:val="006E0531"/>
    <w:rsid w:val="006E6767"/>
    <w:rsid w:val="006E77C5"/>
    <w:rsid w:val="006E7A2B"/>
    <w:rsid w:val="006F13D8"/>
    <w:rsid w:val="006F2DBD"/>
    <w:rsid w:val="006F308D"/>
    <w:rsid w:val="006F46D5"/>
    <w:rsid w:val="006F55FD"/>
    <w:rsid w:val="006F6163"/>
    <w:rsid w:val="006F69F7"/>
    <w:rsid w:val="006F6E67"/>
    <w:rsid w:val="006F6ECE"/>
    <w:rsid w:val="00700C7B"/>
    <w:rsid w:val="00702176"/>
    <w:rsid w:val="007025BB"/>
    <w:rsid w:val="00702E82"/>
    <w:rsid w:val="00704846"/>
    <w:rsid w:val="0070682F"/>
    <w:rsid w:val="00707A59"/>
    <w:rsid w:val="0071239C"/>
    <w:rsid w:val="00715AE7"/>
    <w:rsid w:val="00715BD1"/>
    <w:rsid w:val="00716455"/>
    <w:rsid w:val="00716684"/>
    <w:rsid w:val="00716BFF"/>
    <w:rsid w:val="0072007D"/>
    <w:rsid w:val="00720899"/>
    <w:rsid w:val="007259C6"/>
    <w:rsid w:val="00725DC5"/>
    <w:rsid w:val="00734283"/>
    <w:rsid w:val="007351ED"/>
    <w:rsid w:val="007378F7"/>
    <w:rsid w:val="007406C0"/>
    <w:rsid w:val="00742FB3"/>
    <w:rsid w:val="00743014"/>
    <w:rsid w:val="0074392A"/>
    <w:rsid w:val="00743F6D"/>
    <w:rsid w:val="007441F6"/>
    <w:rsid w:val="007457E3"/>
    <w:rsid w:val="00745AF4"/>
    <w:rsid w:val="0074792E"/>
    <w:rsid w:val="00751346"/>
    <w:rsid w:val="0075136A"/>
    <w:rsid w:val="0075152C"/>
    <w:rsid w:val="0075212F"/>
    <w:rsid w:val="007539FC"/>
    <w:rsid w:val="00755B6C"/>
    <w:rsid w:val="00760D4F"/>
    <w:rsid w:val="007613B7"/>
    <w:rsid w:val="0076287B"/>
    <w:rsid w:val="00763530"/>
    <w:rsid w:val="0076388D"/>
    <w:rsid w:val="007640F9"/>
    <w:rsid w:val="007665A6"/>
    <w:rsid w:val="00770CBA"/>
    <w:rsid w:val="00772A19"/>
    <w:rsid w:val="00772DC5"/>
    <w:rsid w:val="00773719"/>
    <w:rsid w:val="007748BC"/>
    <w:rsid w:val="00774EA1"/>
    <w:rsid w:val="00781469"/>
    <w:rsid w:val="007830C4"/>
    <w:rsid w:val="00790D85"/>
    <w:rsid w:val="0079134C"/>
    <w:rsid w:val="00793DF1"/>
    <w:rsid w:val="007A010E"/>
    <w:rsid w:val="007A44A9"/>
    <w:rsid w:val="007A56BD"/>
    <w:rsid w:val="007A5CFD"/>
    <w:rsid w:val="007A7BA6"/>
    <w:rsid w:val="007B2341"/>
    <w:rsid w:val="007B3150"/>
    <w:rsid w:val="007B318C"/>
    <w:rsid w:val="007B3E83"/>
    <w:rsid w:val="007B4C87"/>
    <w:rsid w:val="007C2851"/>
    <w:rsid w:val="007C4C1E"/>
    <w:rsid w:val="007C719A"/>
    <w:rsid w:val="007D4970"/>
    <w:rsid w:val="007D69AF"/>
    <w:rsid w:val="007E4054"/>
    <w:rsid w:val="007E40CA"/>
    <w:rsid w:val="007E42D5"/>
    <w:rsid w:val="007E497A"/>
    <w:rsid w:val="007E4A4F"/>
    <w:rsid w:val="007E4A91"/>
    <w:rsid w:val="007F0599"/>
    <w:rsid w:val="007F0876"/>
    <w:rsid w:val="007F1DF0"/>
    <w:rsid w:val="007F1E1F"/>
    <w:rsid w:val="007F2DE3"/>
    <w:rsid w:val="007F58F5"/>
    <w:rsid w:val="007F5E88"/>
    <w:rsid w:val="007F5E96"/>
    <w:rsid w:val="007F5F51"/>
    <w:rsid w:val="007F67BF"/>
    <w:rsid w:val="007F79AB"/>
    <w:rsid w:val="00802425"/>
    <w:rsid w:val="0080511A"/>
    <w:rsid w:val="008073F9"/>
    <w:rsid w:val="00807D28"/>
    <w:rsid w:val="008102F7"/>
    <w:rsid w:val="00810B1C"/>
    <w:rsid w:val="008114CC"/>
    <w:rsid w:val="008132F6"/>
    <w:rsid w:val="008134E0"/>
    <w:rsid w:val="008215E7"/>
    <w:rsid w:val="00821815"/>
    <w:rsid w:val="0082196B"/>
    <w:rsid w:val="00821AF1"/>
    <w:rsid w:val="00821F56"/>
    <w:rsid w:val="008233D4"/>
    <w:rsid w:val="00824B96"/>
    <w:rsid w:val="00825BF8"/>
    <w:rsid w:val="0083093D"/>
    <w:rsid w:val="0083440A"/>
    <w:rsid w:val="00840ECE"/>
    <w:rsid w:val="008435E8"/>
    <w:rsid w:val="008460CC"/>
    <w:rsid w:val="008462C2"/>
    <w:rsid w:val="0084795C"/>
    <w:rsid w:val="00847CD6"/>
    <w:rsid w:val="00852130"/>
    <w:rsid w:val="00854101"/>
    <w:rsid w:val="008557AD"/>
    <w:rsid w:val="00856608"/>
    <w:rsid w:val="0086057F"/>
    <w:rsid w:val="008654B7"/>
    <w:rsid w:val="00865D41"/>
    <w:rsid w:val="0086697C"/>
    <w:rsid w:val="00872BB7"/>
    <w:rsid w:val="00874A8C"/>
    <w:rsid w:val="00877487"/>
    <w:rsid w:val="008854BF"/>
    <w:rsid w:val="008878D0"/>
    <w:rsid w:val="00890E92"/>
    <w:rsid w:val="00891134"/>
    <w:rsid w:val="00891888"/>
    <w:rsid w:val="008948DA"/>
    <w:rsid w:val="008961D6"/>
    <w:rsid w:val="00897FB9"/>
    <w:rsid w:val="008A0CAF"/>
    <w:rsid w:val="008A36B6"/>
    <w:rsid w:val="008A438B"/>
    <w:rsid w:val="008B10AA"/>
    <w:rsid w:val="008B37A0"/>
    <w:rsid w:val="008B3878"/>
    <w:rsid w:val="008B46F7"/>
    <w:rsid w:val="008B57C2"/>
    <w:rsid w:val="008B7C07"/>
    <w:rsid w:val="008C3E23"/>
    <w:rsid w:val="008C3F01"/>
    <w:rsid w:val="008C5442"/>
    <w:rsid w:val="008C5507"/>
    <w:rsid w:val="008C5C31"/>
    <w:rsid w:val="008D0907"/>
    <w:rsid w:val="008D121D"/>
    <w:rsid w:val="008D3F12"/>
    <w:rsid w:val="008D6F94"/>
    <w:rsid w:val="008E0CC6"/>
    <w:rsid w:val="008E14C3"/>
    <w:rsid w:val="008E2F07"/>
    <w:rsid w:val="008E45B3"/>
    <w:rsid w:val="008E7793"/>
    <w:rsid w:val="008F214F"/>
    <w:rsid w:val="008F27BA"/>
    <w:rsid w:val="008F306C"/>
    <w:rsid w:val="008F30D1"/>
    <w:rsid w:val="008F6B8F"/>
    <w:rsid w:val="008F6BD4"/>
    <w:rsid w:val="008F6E31"/>
    <w:rsid w:val="00901262"/>
    <w:rsid w:val="009076DE"/>
    <w:rsid w:val="00914868"/>
    <w:rsid w:val="00915550"/>
    <w:rsid w:val="00917921"/>
    <w:rsid w:val="00920805"/>
    <w:rsid w:val="0092096F"/>
    <w:rsid w:val="00920EE6"/>
    <w:rsid w:val="00921A78"/>
    <w:rsid w:val="00923F82"/>
    <w:rsid w:val="00926876"/>
    <w:rsid w:val="0093220E"/>
    <w:rsid w:val="009379CF"/>
    <w:rsid w:val="00943930"/>
    <w:rsid w:val="00943F2A"/>
    <w:rsid w:val="0094610C"/>
    <w:rsid w:val="00946AE5"/>
    <w:rsid w:val="0094798B"/>
    <w:rsid w:val="009505C1"/>
    <w:rsid w:val="009534F5"/>
    <w:rsid w:val="00957054"/>
    <w:rsid w:val="0096120F"/>
    <w:rsid w:val="00961578"/>
    <w:rsid w:val="00962A13"/>
    <w:rsid w:val="00962D10"/>
    <w:rsid w:val="00963E65"/>
    <w:rsid w:val="00964CC4"/>
    <w:rsid w:val="0097223A"/>
    <w:rsid w:val="00973CDD"/>
    <w:rsid w:val="00974B40"/>
    <w:rsid w:val="0097582E"/>
    <w:rsid w:val="00975E13"/>
    <w:rsid w:val="00975E2D"/>
    <w:rsid w:val="009760E6"/>
    <w:rsid w:val="00976ED8"/>
    <w:rsid w:val="00976FF8"/>
    <w:rsid w:val="009833CD"/>
    <w:rsid w:val="009833EE"/>
    <w:rsid w:val="00993253"/>
    <w:rsid w:val="00994832"/>
    <w:rsid w:val="00995348"/>
    <w:rsid w:val="009953AE"/>
    <w:rsid w:val="0099586C"/>
    <w:rsid w:val="00996BC2"/>
    <w:rsid w:val="009A14D8"/>
    <w:rsid w:val="009A249C"/>
    <w:rsid w:val="009A38D9"/>
    <w:rsid w:val="009A4863"/>
    <w:rsid w:val="009A66F8"/>
    <w:rsid w:val="009A6802"/>
    <w:rsid w:val="009B0076"/>
    <w:rsid w:val="009B040D"/>
    <w:rsid w:val="009B1F29"/>
    <w:rsid w:val="009B38A9"/>
    <w:rsid w:val="009B3C55"/>
    <w:rsid w:val="009B5956"/>
    <w:rsid w:val="009B6366"/>
    <w:rsid w:val="009B76ED"/>
    <w:rsid w:val="009B7F02"/>
    <w:rsid w:val="009C0A00"/>
    <w:rsid w:val="009C2BEA"/>
    <w:rsid w:val="009C2D30"/>
    <w:rsid w:val="009C4C3A"/>
    <w:rsid w:val="009D0A19"/>
    <w:rsid w:val="009D0C04"/>
    <w:rsid w:val="009D2445"/>
    <w:rsid w:val="009D5BDC"/>
    <w:rsid w:val="009D6716"/>
    <w:rsid w:val="009E0801"/>
    <w:rsid w:val="009E1D9C"/>
    <w:rsid w:val="009E2855"/>
    <w:rsid w:val="009E4868"/>
    <w:rsid w:val="009E6197"/>
    <w:rsid w:val="009E6B82"/>
    <w:rsid w:val="009F133A"/>
    <w:rsid w:val="009F1560"/>
    <w:rsid w:val="009F2877"/>
    <w:rsid w:val="009F4169"/>
    <w:rsid w:val="009F4743"/>
    <w:rsid w:val="009F48CE"/>
    <w:rsid w:val="009F768C"/>
    <w:rsid w:val="00A004F7"/>
    <w:rsid w:val="00A006AF"/>
    <w:rsid w:val="00A00B54"/>
    <w:rsid w:val="00A01263"/>
    <w:rsid w:val="00A0364C"/>
    <w:rsid w:val="00A11C9C"/>
    <w:rsid w:val="00A1298C"/>
    <w:rsid w:val="00A12BC3"/>
    <w:rsid w:val="00A1434B"/>
    <w:rsid w:val="00A14525"/>
    <w:rsid w:val="00A167F9"/>
    <w:rsid w:val="00A1752E"/>
    <w:rsid w:val="00A17DED"/>
    <w:rsid w:val="00A219F5"/>
    <w:rsid w:val="00A21CBE"/>
    <w:rsid w:val="00A22817"/>
    <w:rsid w:val="00A24A25"/>
    <w:rsid w:val="00A2630F"/>
    <w:rsid w:val="00A27042"/>
    <w:rsid w:val="00A27628"/>
    <w:rsid w:val="00A3020A"/>
    <w:rsid w:val="00A308D7"/>
    <w:rsid w:val="00A32694"/>
    <w:rsid w:val="00A32E63"/>
    <w:rsid w:val="00A331EE"/>
    <w:rsid w:val="00A35767"/>
    <w:rsid w:val="00A368EF"/>
    <w:rsid w:val="00A4039A"/>
    <w:rsid w:val="00A40C73"/>
    <w:rsid w:val="00A41A83"/>
    <w:rsid w:val="00A42D9C"/>
    <w:rsid w:val="00A44801"/>
    <w:rsid w:val="00A459A4"/>
    <w:rsid w:val="00A474D5"/>
    <w:rsid w:val="00A5225D"/>
    <w:rsid w:val="00A53DD4"/>
    <w:rsid w:val="00A57226"/>
    <w:rsid w:val="00A57F5A"/>
    <w:rsid w:val="00A60763"/>
    <w:rsid w:val="00A60A42"/>
    <w:rsid w:val="00A61953"/>
    <w:rsid w:val="00A63E17"/>
    <w:rsid w:val="00A64425"/>
    <w:rsid w:val="00A64BDB"/>
    <w:rsid w:val="00A66261"/>
    <w:rsid w:val="00A66A2B"/>
    <w:rsid w:val="00A72A6E"/>
    <w:rsid w:val="00A7780A"/>
    <w:rsid w:val="00A82E5B"/>
    <w:rsid w:val="00A83D61"/>
    <w:rsid w:val="00A86946"/>
    <w:rsid w:val="00A939F0"/>
    <w:rsid w:val="00A95F87"/>
    <w:rsid w:val="00A97228"/>
    <w:rsid w:val="00A975F8"/>
    <w:rsid w:val="00AA4FBD"/>
    <w:rsid w:val="00AA5542"/>
    <w:rsid w:val="00AA698A"/>
    <w:rsid w:val="00AA706A"/>
    <w:rsid w:val="00AA7D92"/>
    <w:rsid w:val="00AB095C"/>
    <w:rsid w:val="00AB429C"/>
    <w:rsid w:val="00AB4B85"/>
    <w:rsid w:val="00AC25F5"/>
    <w:rsid w:val="00AD1212"/>
    <w:rsid w:val="00AD1D32"/>
    <w:rsid w:val="00AD1F4B"/>
    <w:rsid w:val="00AD243F"/>
    <w:rsid w:val="00AD3101"/>
    <w:rsid w:val="00AD46FE"/>
    <w:rsid w:val="00AD4D32"/>
    <w:rsid w:val="00AD66B3"/>
    <w:rsid w:val="00AD6863"/>
    <w:rsid w:val="00AD7577"/>
    <w:rsid w:val="00AE01C9"/>
    <w:rsid w:val="00AE11DA"/>
    <w:rsid w:val="00AE33F8"/>
    <w:rsid w:val="00AE3F05"/>
    <w:rsid w:val="00AE6320"/>
    <w:rsid w:val="00AE68F5"/>
    <w:rsid w:val="00AE6BE0"/>
    <w:rsid w:val="00AE76D0"/>
    <w:rsid w:val="00AF1A17"/>
    <w:rsid w:val="00AF1B62"/>
    <w:rsid w:val="00AF58E0"/>
    <w:rsid w:val="00B0126B"/>
    <w:rsid w:val="00B03010"/>
    <w:rsid w:val="00B03838"/>
    <w:rsid w:val="00B04465"/>
    <w:rsid w:val="00B069C7"/>
    <w:rsid w:val="00B06C07"/>
    <w:rsid w:val="00B072DF"/>
    <w:rsid w:val="00B119A2"/>
    <w:rsid w:val="00B12505"/>
    <w:rsid w:val="00B12786"/>
    <w:rsid w:val="00B17833"/>
    <w:rsid w:val="00B2329C"/>
    <w:rsid w:val="00B259AE"/>
    <w:rsid w:val="00B3343D"/>
    <w:rsid w:val="00B33567"/>
    <w:rsid w:val="00B347C0"/>
    <w:rsid w:val="00B34E92"/>
    <w:rsid w:val="00B353A0"/>
    <w:rsid w:val="00B36777"/>
    <w:rsid w:val="00B36B58"/>
    <w:rsid w:val="00B37746"/>
    <w:rsid w:val="00B4047B"/>
    <w:rsid w:val="00B51D9C"/>
    <w:rsid w:val="00B51F60"/>
    <w:rsid w:val="00B5308F"/>
    <w:rsid w:val="00B54CFB"/>
    <w:rsid w:val="00B55E99"/>
    <w:rsid w:val="00B56212"/>
    <w:rsid w:val="00B565B3"/>
    <w:rsid w:val="00B57DB6"/>
    <w:rsid w:val="00B57E50"/>
    <w:rsid w:val="00B619FE"/>
    <w:rsid w:val="00B62D43"/>
    <w:rsid w:val="00B6566A"/>
    <w:rsid w:val="00B6583B"/>
    <w:rsid w:val="00B65F08"/>
    <w:rsid w:val="00B72200"/>
    <w:rsid w:val="00B73783"/>
    <w:rsid w:val="00B740F0"/>
    <w:rsid w:val="00B749FB"/>
    <w:rsid w:val="00B76A86"/>
    <w:rsid w:val="00B76CC1"/>
    <w:rsid w:val="00B778E7"/>
    <w:rsid w:val="00B806B6"/>
    <w:rsid w:val="00B80CE7"/>
    <w:rsid w:val="00B817F3"/>
    <w:rsid w:val="00B81F09"/>
    <w:rsid w:val="00B82219"/>
    <w:rsid w:val="00B8515C"/>
    <w:rsid w:val="00B96BED"/>
    <w:rsid w:val="00B97C0C"/>
    <w:rsid w:val="00BA070B"/>
    <w:rsid w:val="00BA11D0"/>
    <w:rsid w:val="00BA1955"/>
    <w:rsid w:val="00BA2939"/>
    <w:rsid w:val="00BA3D91"/>
    <w:rsid w:val="00BA5ABE"/>
    <w:rsid w:val="00BA790E"/>
    <w:rsid w:val="00BA7E61"/>
    <w:rsid w:val="00BB0098"/>
    <w:rsid w:val="00BB537B"/>
    <w:rsid w:val="00BB53CF"/>
    <w:rsid w:val="00BC2CE0"/>
    <w:rsid w:val="00BC3F01"/>
    <w:rsid w:val="00BC444E"/>
    <w:rsid w:val="00BC4C56"/>
    <w:rsid w:val="00BC6A6F"/>
    <w:rsid w:val="00BD1AC6"/>
    <w:rsid w:val="00BD2B69"/>
    <w:rsid w:val="00BD7509"/>
    <w:rsid w:val="00BD7879"/>
    <w:rsid w:val="00BE3B6A"/>
    <w:rsid w:val="00BE3B85"/>
    <w:rsid w:val="00BE67AE"/>
    <w:rsid w:val="00BE698D"/>
    <w:rsid w:val="00BF48E7"/>
    <w:rsid w:val="00BF4F1B"/>
    <w:rsid w:val="00BF5EE9"/>
    <w:rsid w:val="00BF678D"/>
    <w:rsid w:val="00C01C04"/>
    <w:rsid w:val="00C02A16"/>
    <w:rsid w:val="00C05189"/>
    <w:rsid w:val="00C141D7"/>
    <w:rsid w:val="00C14780"/>
    <w:rsid w:val="00C1577B"/>
    <w:rsid w:val="00C1664B"/>
    <w:rsid w:val="00C17E65"/>
    <w:rsid w:val="00C17F92"/>
    <w:rsid w:val="00C201EC"/>
    <w:rsid w:val="00C2207E"/>
    <w:rsid w:val="00C22BDA"/>
    <w:rsid w:val="00C23CA5"/>
    <w:rsid w:val="00C2489E"/>
    <w:rsid w:val="00C251B6"/>
    <w:rsid w:val="00C26FA3"/>
    <w:rsid w:val="00C27371"/>
    <w:rsid w:val="00C328F3"/>
    <w:rsid w:val="00C346C0"/>
    <w:rsid w:val="00C35667"/>
    <w:rsid w:val="00C36657"/>
    <w:rsid w:val="00C37355"/>
    <w:rsid w:val="00C3755E"/>
    <w:rsid w:val="00C41A87"/>
    <w:rsid w:val="00C42A70"/>
    <w:rsid w:val="00C50016"/>
    <w:rsid w:val="00C51FCF"/>
    <w:rsid w:val="00C52CA3"/>
    <w:rsid w:val="00C569C3"/>
    <w:rsid w:val="00C615AD"/>
    <w:rsid w:val="00C63B6D"/>
    <w:rsid w:val="00C663EF"/>
    <w:rsid w:val="00C66928"/>
    <w:rsid w:val="00C67E0F"/>
    <w:rsid w:val="00C71A0E"/>
    <w:rsid w:val="00C76D99"/>
    <w:rsid w:val="00C81A1F"/>
    <w:rsid w:val="00C8284E"/>
    <w:rsid w:val="00C829F0"/>
    <w:rsid w:val="00C83C02"/>
    <w:rsid w:val="00C85A54"/>
    <w:rsid w:val="00C85C5A"/>
    <w:rsid w:val="00C86A19"/>
    <w:rsid w:val="00C916CA"/>
    <w:rsid w:val="00C95BD6"/>
    <w:rsid w:val="00C96A48"/>
    <w:rsid w:val="00C96FD6"/>
    <w:rsid w:val="00CA41B0"/>
    <w:rsid w:val="00CA51FE"/>
    <w:rsid w:val="00CB5CFA"/>
    <w:rsid w:val="00CB67A8"/>
    <w:rsid w:val="00CC0D61"/>
    <w:rsid w:val="00CC1C81"/>
    <w:rsid w:val="00CC615E"/>
    <w:rsid w:val="00CC67AD"/>
    <w:rsid w:val="00CC76BD"/>
    <w:rsid w:val="00CC76D3"/>
    <w:rsid w:val="00CD046C"/>
    <w:rsid w:val="00CD04D0"/>
    <w:rsid w:val="00CD1636"/>
    <w:rsid w:val="00CD3081"/>
    <w:rsid w:val="00CD3AFA"/>
    <w:rsid w:val="00CD60D0"/>
    <w:rsid w:val="00CD6242"/>
    <w:rsid w:val="00CD6D12"/>
    <w:rsid w:val="00CD6FF9"/>
    <w:rsid w:val="00CE0854"/>
    <w:rsid w:val="00CE11F6"/>
    <w:rsid w:val="00CE157E"/>
    <w:rsid w:val="00CE24DC"/>
    <w:rsid w:val="00CE6DA0"/>
    <w:rsid w:val="00CF1D62"/>
    <w:rsid w:val="00CF6D29"/>
    <w:rsid w:val="00CF7D56"/>
    <w:rsid w:val="00D03C52"/>
    <w:rsid w:val="00D04DEF"/>
    <w:rsid w:val="00D05793"/>
    <w:rsid w:val="00D05AE2"/>
    <w:rsid w:val="00D05C98"/>
    <w:rsid w:val="00D06175"/>
    <w:rsid w:val="00D10EA5"/>
    <w:rsid w:val="00D12339"/>
    <w:rsid w:val="00D12B2A"/>
    <w:rsid w:val="00D13303"/>
    <w:rsid w:val="00D14045"/>
    <w:rsid w:val="00D15327"/>
    <w:rsid w:val="00D17614"/>
    <w:rsid w:val="00D17C5F"/>
    <w:rsid w:val="00D21C1A"/>
    <w:rsid w:val="00D233A9"/>
    <w:rsid w:val="00D2460E"/>
    <w:rsid w:val="00D27069"/>
    <w:rsid w:val="00D306ED"/>
    <w:rsid w:val="00D3121A"/>
    <w:rsid w:val="00D343A7"/>
    <w:rsid w:val="00D36929"/>
    <w:rsid w:val="00D370C7"/>
    <w:rsid w:val="00D422EE"/>
    <w:rsid w:val="00D43A4A"/>
    <w:rsid w:val="00D45071"/>
    <w:rsid w:val="00D501B7"/>
    <w:rsid w:val="00D509F8"/>
    <w:rsid w:val="00D51F36"/>
    <w:rsid w:val="00D532C1"/>
    <w:rsid w:val="00D53A91"/>
    <w:rsid w:val="00D5437E"/>
    <w:rsid w:val="00D55A99"/>
    <w:rsid w:val="00D6029D"/>
    <w:rsid w:val="00D608B8"/>
    <w:rsid w:val="00D65F45"/>
    <w:rsid w:val="00D66C1F"/>
    <w:rsid w:val="00D6735B"/>
    <w:rsid w:val="00D70518"/>
    <w:rsid w:val="00D7066A"/>
    <w:rsid w:val="00D711B0"/>
    <w:rsid w:val="00D75B04"/>
    <w:rsid w:val="00D75D4C"/>
    <w:rsid w:val="00D80C8E"/>
    <w:rsid w:val="00D81B1D"/>
    <w:rsid w:val="00D828BF"/>
    <w:rsid w:val="00D83052"/>
    <w:rsid w:val="00D8329B"/>
    <w:rsid w:val="00D8353B"/>
    <w:rsid w:val="00D91DDE"/>
    <w:rsid w:val="00D927EC"/>
    <w:rsid w:val="00D9503C"/>
    <w:rsid w:val="00DA0716"/>
    <w:rsid w:val="00DA1023"/>
    <w:rsid w:val="00DA2DB1"/>
    <w:rsid w:val="00DA6742"/>
    <w:rsid w:val="00DB3219"/>
    <w:rsid w:val="00DB35B5"/>
    <w:rsid w:val="00DB408B"/>
    <w:rsid w:val="00DB4A6C"/>
    <w:rsid w:val="00DB4F59"/>
    <w:rsid w:val="00DB5067"/>
    <w:rsid w:val="00DB53C8"/>
    <w:rsid w:val="00DC099D"/>
    <w:rsid w:val="00DC0E8D"/>
    <w:rsid w:val="00DC1F8B"/>
    <w:rsid w:val="00DC57D9"/>
    <w:rsid w:val="00DC5CFA"/>
    <w:rsid w:val="00DC63E9"/>
    <w:rsid w:val="00DC7E94"/>
    <w:rsid w:val="00DD19AC"/>
    <w:rsid w:val="00DD321E"/>
    <w:rsid w:val="00DD43EF"/>
    <w:rsid w:val="00DD458D"/>
    <w:rsid w:val="00DD5EFC"/>
    <w:rsid w:val="00DD7576"/>
    <w:rsid w:val="00DD789C"/>
    <w:rsid w:val="00DD7A98"/>
    <w:rsid w:val="00DE00BD"/>
    <w:rsid w:val="00DE01CA"/>
    <w:rsid w:val="00DE3CDF"/>
    <w:rsid w:val="00DE50E5"/>
    <w:rsid w:val="00DF2DE3"/>
    <w:rsid w:val="00DF3A80"/>
    <w:rsid w:val="00E0086F"/>
    <w:rsid w:val="00E01739"/>
    <w:rsid w:val="00E04E41"/>
    <w:rsid w:val="00E04F76"/>
    <w:rsid w:val="00E05082"/>
    <w:rsid w:val="00E07165"/>
    <w:rsid w:val="00E102E3"/>
    <w:rsid w:val="00E109CA"/>
    <w:rsid w:val="00E123C4"/>
    <w:rsid w:val="00E14FD3"/>
    <w:rsid w:val="00E213D6"/>
    <w:rsid w:val="00E27658"/>
    <w:rsid w:val="00E31256"/>
    <w:rsid w:val="00E35209"/>
    <w:rsid w:val="00E36AA9"/>
    <w:rsid w:val="00E374C9"/>
    <w:rsid w:val="00E4062F"/>
    <w:rsid w:val="00E46098"/>
    <w:rsid w:val="00E51DA5"/>
    <w:rsid w:val="00E52B18"/>
    <w:rsid w:val="00E545C1"/>
    <w:rsid w:val="00E54712"/>
    <w:rsid w:val="00E551E0"/>
    <w:rsid w:val="00E566FB"/>
    <w:rsid w:val="00E570DE"/>
    <w:rsid w:val="00E57BCA"/>
    <w:rsid w:val="00E61163"/>
    <w:rsid w:val="00E625CE"/>
    <w:rsid w:val="00E62B5E"/>
    <w:rsid w:val="00E632AF"/>
    <w:rsid w:val="00E63960"/>
    <w:rsid w:val="00E65385"/>
    <w:rsid w:val="00E655DA"/>
    <w:rsid w:val="00E707CB"/>
    <w:rsid w:val="00E73A80"/>
    <w:rsid w:val="00E74540"/>
    <w:rsid w:val="00E77619"/>
    <w:rsid w:val="00E80EB7"/>
    <w:rsid w:val="00E8114A"/>
    <w:rsid w:val="00E81C42"/>
    <w:rsid w:val="00E82EAE"/>
    <w:rsid w:val="00E82F29"/>
    <w:rsid w:val="00E83D44"/>
    <w:rsid w:val="00E84E24"/>
    <w:rsid w:val="00E8571B"/>
    <w:rsid w:val="00E8648B"/>
    <w:rsid w:val="00E90B84"/>
    <w:rsid w:val="00E95068"/>
    <w:rsid w:val="00E9597F"/>
    <w:rsid w:val="00E95F76"/>
    <w:rsid w:val="00E97A2A"/>
    <w:rsid w:val="00EA2A3C"/>
    <w:rsid w:val="00EA3BA8"/>
    <w:rsid w:val="00EB2109"/>
    <w:rsid w:val="00EB367F"/>
    <w:rsid w:val="00EB5FF5"/>
    <w:rsid w:val="00EB7208"/>
    <w:rsid w:val="00EC0302"/>
    <w:rsid w:val="00EC0C4E"/>
    <w:rsid w:val="00EC18D8"/>
    <w:rsid w:val="00EC2860"/>
    <w:rsid w:val="00EC7EE9"/>
    <w:rsid w:val="00ED05F4"/>
    <w:rsid w:val="00ED1309"/>
    <w:rsid w:val="00ED1CD0"/>
    <w:rsid w:val="00ED3B34"/>
    <w:rsid w:val="00ED3E05"/>
    <w:rsid w:val="00ED4068"/>
    <w:rsid w:val="00ED4F79"/>
    <w:rsid w:val="00ED5873"/>
    <w:rsid w:val="00EE1559"/>
    <w:rsid w:val="00EE3098"/>
    <w:rsid w:val="00EE783A"/>
    <w:rsid w:val="00EF1D8D"/>
    <w:rsid w:val="00EF27AC"/>
    <w:rsid w:val="00EF495E"/>
    <w:rsid w:val="00EF6729"/>
    <w:rsid w:val="00EF7CA6"/>
    <w:rsid w:val="00F012AC"/>
    <w:rsid w:val="00F01D6D"/>
    <w:rsid w:val="00F0269F"/>
    <w:rsid w:val="00F02D99"/>
    <w:rsid w:val="00F030C2"/>
    <w:rsid w:val="00F03B1E"/>
    <w:rsid w:val="00F11BC4"/>
    <w:rsid w:val="00F13455"/>
    <w:rsid w:val="00F16F25"/>
    <w:rsid w:val="00F22AD3"/>
    <w:rsid w:val="00F246C2"/>
    <w:rsid w:val="00F25E8D"/>
    <w:rsid w:val="00F3092A"/>
    <w:rsid w:val="00F314E6"/>
    <w:rsid w:val="00F329A8"/>
    <w:rsid w:val="00F3364E"/>
    <w:rsid w:val="00F36CA5"/>
    <w:rsid w:val="00F37595"/>
    <w:rsid w:val="00F41A32"/>
    <w:rsid w:val="00F41BF5"/>
    <w:rsid w:val="00F43BE1"/>
    <w:rsid w:val="00F4543F"/>
    <w:rsid w:val="00F5128D"/>
    <w:rsid w:val="00F521CA"/>
    <w:rsid w:val="00F5377B"/>
    <w:rsid w:val="00F54B6F"/>
    <w:rsid w:val="00F55AEA"/>
    <w:rsid w:val="00F6098F"/>
    <w:rsid w:val="00F65214"/>
    <w:rsid w:val="00F70667"/>
    <w:rsid w:val="00F716C7"/>
    <w:rsid w:val="00F73299"/>
    <w:rsid w:val="00F733BB"/>
    <w:rsid w:val="00F77648"/>
    <w:rsid w:val="00F808FB"/>
    <w:rsid w:val="00F80EE7"/>
    <w:rsid w:val="00F82468"/>
    <w:rsid w:val="00F8302D"/>
    <w:rsid w:val="00F839AB"/>
    <w:rsid w:val="00F85249"/>
    <w:rsid w:val="00F8537A"/>
    <w:rsid w:val="00F9053E"/>
    <w:rsid w:val="00F9170A"/>
    <w:rsid w:val="00F9210E"/>
    <w:rsid w:val="00FA2D56"/>
    <w:rsid w:val="00FA3C5C"/>
    <w:rsid w:val="00FA7E75"/>
    <w:rsid w:val="00FB706B"/>
    <w:rsid w:val="00FB7DAE"/>
    <w:rsid w:val="00FB7F66"/>
    <w:rsid w:val="00FC11BE"/>
    <w:rsid w:val="00FC1CA9"/>
    <w:rsid w:val="00FC3F15"/>
    <w:rsid w:val="00FC4181"/>
    <w:rsid w:val="00FD0FDF"/>
    <w:rsid w:val="00FD37B8"/>
    <w:rsid w:val="00FD4160"/>
    <w:rsid w:val="00FD43BC"/>
    <w:rsid w:val="00FD4F2C"/>
    <w:rsid w:val="00FD5165"/>
    <w:rsid w:val="00FD585F"/>
    <w:rsid w:val="00FD5EA6"/>
    <w:rsid w:val="00FD694C"/>
    <w:rsid w:val="00FD7EA6"/>
    <w:rsid w:val="00FE3E12"/>
    <w:rsid w:val="00FE41E4"/>
    <w:rsid w:val="00FE5D09"/>
    <w:rsid w:val="00FE6183"/>
    <w:rsid w:val="00FE69A1"/>
    <w:rsid w:val="00FE7403"/>
    <w:rsid w:val="00FE7894"/>
    <w:rsid w:val="00FF0019"/>
    <w:rsid w:val="00FF0B08"/>
    <w:rsid w:val="00FF392A"/>
    <w:rsid w:val="00FF49C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8F522"/>
  <w15:chartTrackingRefBased/>
  <w15:docId w15:val="{077ABE16-7954-451A-8F9C-8908629F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06AF"/>
    <w:pPr>
      <w:spacing w:before="220" w:after="220" w:line="276" w:lineRule="auto"/>
    </w:pPr>
    <w:rPr>
      <w:rFonts w:cstheme="minorHAnsi"/>
      <w:color w:val="000000" w:themeColor="text1"/>
      <w:szCs w:val="20"/>
    </w:rPr>
  </w:style>
  <w:style w:type="paragraph" w:styleId="Nagwek1">
    <w:name w:val="heading 1"/>
    <w:basedOn w:val="Nagwek2"/>
    <w:next w:val="Normalny"/>
    <w:link w:val="Nagwek1Znak"/>
    <w:qFormat/>
    <w:rsid w:val="00865D41"/>
    <w:pPr>
      <w:outlineLvl w:val="0"/>
    </w:pPr>
  </w:style>
  <w:style w:type="paragraph" w:styleId="Nagwek2">
    <w:name w:val="heading 2"/>
    <w:basedOn w:val="Dziatytu"/>
    <w:next w:val="Normalny"/>
    <w:link w:val="Nagwek2Znak"/>
    <w:uiPriority w:val="9"/>
    <w:unhideWhenUsed/>
    <w:qFormat/>
    <w:rsid w:val="00865D41"/>
    <w:pPr>
      <w:keepNext/>
      <w:spacing w:before="240" w:after="240"/>
      <w:outlineLvl w:val="1"/>
    </w:pPr>
    <w:rPr>
      <w:rFonts w:asciiTheme="minorHAnsi" w:hAnsiTheme="minorHAnsi"/>
      <w:i w:val="0"/>
      <w:sz w:val="24"/>
      <w:u w:val="none"/>
      <w14:textOutline w14:w="3175" w14:cap="rnd" w14:cmpd="sng" w14:algn="ctr">
        <w14:noFill/>
        <w14:prstDash w14:val="solid"/>
        <w14:bevel/>
      </w14:textOutline>
    </w:rPr>
  </w:style>
  <w:style w:type="paragraph" w:styleId="Nagwek3">
    <w:name w:val="heading 3"/>
    <w:basedOn w:val="Normalny"/>
    <w:next w:val="Normalny"/>
    <w:link w:val="Nagwek3Znak"/>
    <w:uiPriority w:val="9"/>
    <w:semiHidden/>
    <w:unhideWhenUsed/>
    <w:qFormat/>
    <w:rsid w:val="004549B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94798B"/>
    <w:rPr>
      <w:b/>
      <w:bCs/>
    </w:rPr>
  </w:style>
  <w:style w:type="paragraph" w:styleId="Tekstdymka">
    <w:name w:val="Balloon Text"/>
    <w:basedOn w:val="Normalny"/>
    <w:link w:val="TekstdymkaZnak"/>
    <w:uiPriority w:val="99"/>
    <w:semiHidden/>
    <w:unhideWhenUsed/>
    <w:rsid w:val="00C76D99"/>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6D99"/>
    <w:rPr>
      <w:rFonts w:ascii="Segoe UI" w:hAnsi="Segoe UI" w:cs="Segoe UI"/>
      <w:sz w:val="18"/>
      <w:szCs w:val="18"/>
    </w:rPr>
  </w:style>
  <w:style w:type="table" w:styleId="Tabela-Siatka">
    <w:name w:val="Table Grid"/>
    <w:basedOn w:val="Standardowy"/>
    <w:uiPriority w:val="39"/>
    <w:rsid w:val="00383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04846"/>
    <w:pPr>
      <w:numPr>
        <w:numId w:val="10"/>
      </w:numPr>
      <w:tabs>
        <w:tab w:val="left" w:pos="284"/>
      </w:tabs>
      <w:ind w:left="1418" w:hanging="1418"/>
      <w:contextualSpacing/>
    </w:pPr>
  </w:style>
  <w:style w:type="character" w:customStyle="1" w:styleId="Nagwek1Znak">
    <w:name w:val="Nagłówek 1 Znak"/>
    <w:basedOn w:val="Domylnaczcionkaakapitu"/>
    <w:link w:val="Nagwek1"/>
    <w:rsid w:val="00865D41"/>
    <w:rPr>
      <w:rFonts w:cstheme="minorHAnsi"/>
      <w:b/>
      <w:color w:val="000000" w:themeColor="text1"/>
      <w:sz w:val="24"/>
      <w:szCs w:val="20"/>
      <w:u w:color="0070C0"/>
      <w14:textOutline w14:w="3175" w14:cap="rnd" w14:cmpd="sng" w14:algn="ctr">
        <w14:noFill/>
        <w14:prstDash w14:val="solid"/>
        <w14:bevel/>
      </w14:textOutline>
    </w:rPr>
  </w:style>
  <w:style w:type="paragraph" w:styleId="Nagwek">
    <w:name w:val="header"/>
    <w:basedOn w:val="Normalny"/>
    <w:link w:val="NagwekZnak"/>
    <w:uiPriority w:val="99"/>
    <w:unhideWhenUsed/>
    <w:rsid w:val="00374D95"/>
    <w:pPr>
      <w:tabs>
        <w:tab w:val="center" w:pos="4536"/>
        <w:tab w:val="right" w:pos="9072"/>
      </w:tabs>
    </w:pPr>
  </w:style>
  <w:style w:type="character" w:customStyle="1" w:styleId="NagwekZnak">
    <w:name w:val="Nagłówek Znak"/>
    <w:basedOn w:val="Domylnaczcionkaakapitu"/>
    <w:link w:val="Nagwek"/>
    <w:uiPriority w:val="99"/>
    <w:rsid w:val="00374D95"/>
  </w:style>
  <w:style w:type="paragraph" w:styleId="Stopka">
    <w:name w:val="footer"/>
    <w:basedOn w:val="Normalny"/>
    <w:link w:val="StopkaZnak"/>
    <w:uiPriority w:val="99"/>
    <w:unhideWhenUsed/>
    <w:rsid w:val="00374D95"/>
    <w:pPr>
      <w:tabs>
        <w:tab w:val="center" w:pos="4536"/>
        <w:tab w:val="right" w:pos="9072"/>
      </w:tabs>
    </w:pPr>
  </w:style>
  <w:style w:type="character" w:customStyle="1" w:styleId="StopkaZnak">
    <w:name w:val="Stopka Znak"/>
    <w:basedOn w:val="Domylnaczcionkaakapitu"/>
    <w:link w:val="Stopka"/>
    <w:uiPriority w:val="99"/>
    <w:rsid w:val="00374D95"/>
  </w:style>
  <w:style w:type="paragraph" w:customStyle="1" w:styleId="Wykrespodpis">
    <w:name w:val="Wykres_podpis"/>
    <w:basedOn w:val="Normalny"/>
    <w:link w:val="WykrespodpisZnak"/>
    <w:qFormat/>
    <w:rsid w:val="006D3999"/>
    <w:pPr>
      <w:spacing w:after="120"/>
      <w:ind w:left="603" w:hanging="603"/>
    </w:pPr>
    <w:rPr>
      <w:rFonts w:ascii="Cambria" w:hAnsi="Cambria"/>
      <w:i/>
      <w:iCs/>
      <w:sz w:val="14"/>
      <w:szCs w:val="14"/>
    </w:rPr>
  </w:style>
  <w:style w:type="paragraph" w:customStyle="1" w:styleId="Dziatytu">
    <w:name w:val="Dział_tytuł"/>
    <w:basedOn w:val="Normalny"/>
    <w:link w:val="DziatytuZnak"/>
    <w:qFormat/>
    <w:rsid w:val="00310D7B"/>
    <w:pPr>
      <w:spacing w:before="120" w:after="120"/>
    </w:pPr>
    <w:rPr>
      <w:rFonts w:ascii="Cambria" w:hAnsi="Cambria"/>
      <w:b/>
      <w:i/>
      <w:sz w:val="18"/>
      <w:u w:val="single" w:color="0070C0"/>
      <w14:textOutline w14:w="3175" w14:cap="rnd" w14:cmpd="sng" w14:algn="ctr">
        <w14:solidFill>
          <w14:srgbClr w14:val="C00000">
            <w14:alpha w14:val="50000"/>
          </w14:srgbClr>
        </w14:solidFill>
        <w14:prstDash w14:val="solid"/>
        <w14:bevel/>
      </w14:textOutline>
    </w:rPr>
  </w:style>
  <w:style w:type="character" w:customStyle="1" w:styleId="WykrespodpisZnak">
    <w:name w:val="Wykres_podpis Znak"/>
    <w:basedOn w:val="Domylnaczcionkaakapitu"/>
    <w:link w:val="Wykrespodpis"/>
    <w:rsid w:val="006D3999"/>
    <w:rPr>
      <w:rFonts w:ascii="Cambria" w:hAnsi="Cambria"/>
      <w:i/>
      <w:iCs/>
      <w:sz w:val="14"/>
      <w:szCs w:val="14"/>
    </w:rPr>
  </w:style>
  <w:style w:type="character" w:customStyle="1" w:styleId="Nagwek2Znak">
    <w:name w:val="Nagłówek 2 Znak"/>
    <w:basedOn w:val="Domylnaczcionkaakapitu"/>
    <w:link w:val="Nagwek2"/>
    <w:uiPriority w:val="9"/>
    <w:rsid w:val="00865D41"/>
    <w:rPr>
      <w:rFonts w:cstheme="minorHAnsi"/>
      <w:b/>
      <w:color w:val="000000" w:themeColor="text1"/>
      <w:sz w:val="24"/>
      <w:szCs w:val="20"/>
      <w:u w:color="0070C0"/>
      <w14:textOutline w14:w="3175" w14:cap="rnd" w14:cmpd="sng" w14:algn="ctr">
        <w14:noFill/>
        <w14:prstDash w14:val="solid"/>
        <w14:bevel/>
      </w14:textOutline>
    </w:rPr>
  </w:style>
  <w:style w:type="character" w:customStyle="1" w:styleId="DziatytuZnak">
    <w:name w:val="Dział_tytuł Znak"/>
    <w:basedOn w:val="Domylnaczcionkaakapitu"/>
    <w:link w:val="Dziatytu"/>
    <w:rsid w:val="00310D7B"/>
    <w:rPr>
      <w:rFonts w:ascii="Cambria" w:hAnsi="Cambria"/>
      <w:b/>
      <w:i/>
      <w:color w:val="000000" w:themeColor="text1"/>
      <w:sz w:val="18"/>
      <w:szCs w:val="20"/>
      <w:u w:val="single" w:color="0070C0"/>
      <w14:textOutline w14:w="3175" w14:cap="rnd" w14:cmpd="sng" w14:algn="ctr">
        <w14:solidFill>
          <w14:srgbClr w14:val="C00000">
            <w14:alpha w14:val="50000"/>
          </w14:srgbClr>
        </w14:solidFill>
        <w14:prstDash w14:val="solid"/>
        <w14:bevel/>
      </w14:textOutline>
    </w:rPr>
  </w:style>
  <w:style w:type="character" w:customStyle="1" w:styleId="Nagwek3Znak">
    <w:name w:val="Nagłówek 3 Znak"/>
    <w:basedOn w:val="Domylnaczcionkaakapitu"/>
    <w:link w:val="Nagwek3"/>
    <w:uiPriority w:val="9"/>
    <w:semiHidden/>
    <w:rsid w:val="004549B9"/>
    <w:rPr>
      <w:rFonts w:asciiTheme="majorHAnsi" w:eastAsiaTheme="majorEastAsia" w:hAnsiTheme="majorHAnsi" w:cstheme="majorBidi"/>
      <w:color w:val="1F4D78" w:themeColor="accent1" w:themeShade="7F"/>
      <w:sz w:val="24"/>
      <w:szCs w:val="24"/>
    </w:rPr>
  </w:style>
  <w:style w:type="paragraph" w:styleId="Spistreci1">
    <w:name w:val="toc 1"/>
    <w:basedOn w:val="Normalny"/>
    <w:next w:val="Normalny"/>
    <w:autoRedefine/>
    <w:uiPriority w:val="39"/>
    <w:unhideWhenUsed/>
    <w:rsid w:val="004903C4"/>
    <w:pPr>
      <w:tabs>
        <w:tab w:val="right" w:pos="952"/>
      </w:tabs>
      <w:spacing w:line="360" w:lineRule="auto"/>
      <w:ind w:left="938" w:hanging="938"/>
    </w:pPr>
    <w:rPr>
      <w:rFonts w:ascii="Cambria" w:hAnsi="Cambria"/>
      <w:sz w:val="18"/>
    </w:rPr>
  </w:style>
  <w:style w:type="character" w:styleId="Hipercze">
    <w:name w:val="Hyperlink"/>
    <w:basedOn w:val="Domylnaczcionkaakapitu"/>
    <w:uiPriority w:val="99"/>
    <w:unhideWhenUsed/>
    <w:rsid w:val="004549B9"/>
    <w:rPr>
      <w:color w:val="0563C1" w:themeColor="hyperlink"/>
      <w:u w:val="single"/>
    </w:rPr>
  </w:style>
  <w:style w:type="paragraph" w:styleId="Tekstpodstawowywcity">
    <w:name w:val="Body Text Indent"/>
    <w:basedOn w:val="Normalny"/>
    <w:link w:val="TekstpodstawowywcityZnak"/>
    <w:rsid w:val="00C63B6D"/>
    <w:pPr>
      <w:ind w:firstLine="708"/>
      <w:jc w:val="both"/>
    </w:pPr>
    <w:rPr>
      <w:rFonts w:ascii="Times New Roman" w:eastAsia="Times New Roman" w:hAnsi="Times New Roman" w:cs="Times New Roman"/>
      <w:sz w:val="28"/>
      <w:lang w:val="x-none" w:eastAsia="x-none"/>
    </w:rPr>
  </w:style>
  <w:style w:type="character" w:customStyle="1" w:styleId="TekstpodstawowywcityZnak">
    <w:name w:val="Tekst podstawowy wcięty Znak"/>
    <w:basedOn w:val="Domylnaczcionkaakapitu"/>
    <w:link w:val="Tekstpodstawowywcity"/>
    <w:rsid w:val="00C63B6D"/>
    <w:rPr>
      <w:rFonts w:ascii="Times New Roman" w:eastAsia="Times New Roman" w:hAnsi="Times New Roman" w:cs="Times New Roman"/>
      <w:sz w:val="28"/>
      <w:szCs w:val="20"/>
      <w:lang w:val="x-none" w:eastAsia="x-none"/>
    </w:rPr>
  </w:style>
  <w:style w:type="paragraph" w:styleId="Legenda">
    <w:name w:val="caption"/>
    <w:basedOn w:val="Normalny"/>
    <w:next w:val="Normalny"/>
    <w:uiPriority w:val="35"/>
    <w:unhideWhenUsed/>
    <w:qFormat/>
    <w:rsid w:val="00865D41"/>
    <w:pPr>
      <w:keepNext/>
      <w:keepLines/>
      <w:spacing w:before="180" w:after="180"/>
    </w:pPr>
    <w:rPr>
      <w:iCs/>
      <w:color w:val="323E4F" w:themeColor="text2" w:themeShade="BF"/>
      <w:sz w:val="18"/>
      <w:szCs w:val="18"/>
    </w:rPr>
  </w:style>
  <w:style w:type="paragraph" w:styleId="Tytu">
    <w:name w:val="Title"/>
    <w:next w:val="Normalny"/>
    <w:link w:val="TytuZnak"/>
    <w:uiPriority w:val="10"/>
    <w:qFormat/>
    <w:rsid w:val="00865D41"/>
    <w:pPr>
      <w:spacing w:before="320" w:after="320" w:line="240" w:lineRule="auto"/>
    </w:pPr>
    <w:rPr>
      <w:rFonts w:eastAsia="Times New Roman" w:cs="Times New Roman"/>
      <w:b/>
      <w:color w:val="000000" w:themeColor="text1"/>
      <w:sz w:val="32"/>
      <w:szCs w:val="20"/>
      <w:lang w:val="x-none" w:eastAsia="x-none"/>
    </w:rPr>
  </w:style>
  <w:style w:type="character" w:customStyle="1" w:styleId="TytuZnak">
    <w:name w:val="Tytuł Znak"/>
    <w:basedOn w:val="Domylnaczcionkaakapitu"/>
    <w:link w:val="Tytu"/>
    <w:uiPriority w:val="10"/>
    <w:rsid w:val="00865D41"/>
    <w:rPr>
      <w:rFonts w:eastAsia="Times New Roman" w:cs="Times New Roman"/>
      <w:b/>
      <w:color w:val="000000" w:themeColor="text1"/>
      <w:sz w:val="32"/>
      <w:szCs w:val="20"/>
      <w:lang w:val="x-none" w:eastAsia="x-none"/>
    </w:rPr>
  </w:style>
  <w:style w:type="character" w:styleId="Odwoaniedokomentarza">
    <w:name w:val="annotation reference"/>
    <w:basedOn w:val="Domylnaczcionkaakapitu"/>
    <w:uiPriority w:val="99"/>
    <w:semiHidden/>
    <w:unhideWhenUsed/>
    <w:rsid w:val="00BA5ABE"/>
    <w:rPr>
      <w:sz w:val="16"/>
      <w:szCs w:val="16"/>
    </w:rPr>
  </w:style>
  <w:style w:type="paragraph" w:styleId="Tekstkomentarza">
    <w:name w:val="annotation text"/>
    <w:basedOn w:val="Normalny"/>
    <w:link w:val="TekstkomentarzaZnak"/>
    <w:uiPriority w:val="99"/>
    <w:semiHidden/>
    <w:unhideWhenUsed/>
    <w:rsid w:val="00BA5ABE"/>
    <w:rPr>
      <w:sz w:val="20"/>
    </w:rPr>
  </w:style>
  <w:style w:type="character" w:customStyle="1" w:styleId="TekstkomentarzaZnak">
    <w:name w:val="Tekst komentarza Znak"/>
    <w:basedOn w:val="Domylnaczcionkaakapitu"/>
    <w:link w:val="Tekstkomentarza"/>
    <w:uiPriority w:val="99"/>
    <w:semiHidden/>
    <w:rsid w:val="00BA5ABE"/>
    <w:rPr>
      <w:rFonts w:cstheme="minorHAnsi"/>
      <w:sz w:val="20"/>
      <w:szCs w:val="20"/>
    </w:rPr>
  </w:style>
  <w:style w:type="paragraph" w:styleId="Tematkomentarza">
    <w:name w:val="annotation subject"/>
    <w:basedOn w:val="Tekstkomentarza"/>
    <w:next w:val="Tekstkomentarza"/>
    <w:link w:val="TematkomentarzaZnak"/>
    <w:uiPriority w:val="99"/>
    <w:semiHidden/>
    <w:unhideWhenUsed/>
    <w:rsid w:val="00BA5ABE"/>
    <w:rPr>
      <w:b/>
      <w:bCs/>
    </w:rPr>
  </w:style>
  <w:style w:type="character" w:customStyle="1" w:styleId="TematkomentarzaZnak">
    <w:name w:val="Temat komentarza Znak"/>
    <w:basedOn w:val="TekstkomentarzaZnak"/>
    <w:link w:val="Tematkomentarza"/>
    <w:uiPriority w:val="99"/>
    <w:semiHidden/>
    <w:rsid w:val="00BA5ABE"/>
    <w:rPr>
      <w:rFonts w:cstheme="minorHAnsi"/>
      <w:b/>
      <w:bCs/>
      <w:sz w:val="20"/>
      <w:szCs w:val="20"/>
    </w:rPr>
  </w:style>
  <w:style w:type="paragraph" w:customStyle="1" w:styleId="TabelaNormalny">
    <w:name w:val="Tabela_Normalny"/>
    <w:basedOn w:val="Normalny"/>
    <w:link w:val="TabelaNormalnyZnak"/>
    <w:qFormat/>
    <w:rsid w:val="00031AE8"/>
    <w:pPr>
      <w:spacing w:before="0" w:after="0" w:line="240" w:lineRule="auto"/>
      <w:contextualSpacing/>
    </w:pPr>
  </w:style>
  <w:style w:type="character" w:styleId="Tekstzastpczy">
    <w:name w:val="Placeholder Text"/>
    <w:basedOn w:val="Domylnaczcionkaakapitu"/>
    <w:uiPriority w:val="99"/>
    <w:semiHidden/>
    <w:rsid w:val="00AD1D32"/>
    <w:rPr>
      <w:color w:val="808080"/>
    </w:rPr>
  </w:style>
  <w:style w:type="character" w:customStyle="1" w:styleId="TabelaNormalnyZnak">
    <w:name w:val="Tabela_Normalny Znak"/>
    <w:basedOn w:val="Domylnaczcionkaakapitu"/>
    <w:link w:val="TabelaNormalny"/>
    <w:rsid w:val="00031AE8"/>
    <w:rPr>
      <w:rFonts w:cstheme="minorHAnsi"/>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7245">
      <w:bodyDiv w:val="1"/>
      <w:marLeft w:val="0"/>
      <w:marRight w:val="0"/>
      <w:marTop w:val="0"/>
      <w:marBottom w:val="0"/>
      <w:divBdr>
        <w:top w:val="none" w:sz="0" w:space="0" w:color="auto"/>
        <w:left w:val="none" w:sz="0" w:space="0" w:color="auto"/>
        <w:bottom w:val="none" w:sz="0" w:space="0" w:color="auto"/>
        <w:right w:val="none" w:sz="0" w:space="0" w:color="auto"/>
      </w:divBdr>
    </w:div>
    <w:div w:id="29769893">
      <w:bodyDiv w:val="1"/>
      <w:marLeft w:val="0"/>
      <w:marRight w:val="0"/>
      <w:marTop w:val="0"/>
      <w:marBottom w:val="0"/>
      <w:divBdr>
        <w:top w:val="none" w:sz="0" w:space="0" w:color="auto"/>
        <w:left w:val="none" w:sz="0" w:space="0" w:color="auto"/>
        <w:bottom w:val="none" w:sz="0" w:space="0" w:color="auto"/>
        <w:right w:val="none" w:sz="0" w:space="0" w:color="auto"/>
      </w:divBdr>
    </w:div>
    <w:div w:id="50882048">
      <w:bodyDiv w:val="1"/>
      <w:marLeft w:val="0"/>
      <w:marRight w:val="0"/>
      <w:marTop w:val="0"/>
      <w:marBottom w:val="0"/>
      <w:divBdr>
        <w:top w:val="none" w:sz="0" w:space="0" w:color="auto"/>
        <w:left w:val="none" w:sz="0" w:space="0" w:color="auto"/>
        <w:bottom w:val="none" w:sz="0" w:space="0" w:color="auto"/>
        <w:right w:val="none" w:sz="0" w:space="0" w:color="auto"/>
      </w:divBdr>
    </w:div>
    <w:div w:id="92675947">
      <w:bodyDiv w:val="1"/>
      <w:marLeft w:val="0"/>
      <w:marRight w:val="0"/>
      <w:marTop w:val="0"/>
      <w:marBottom w:val="0"/>
      <w:divBdr>
        <w:top w:val="none" w:sz="0" w:space="0" w:color="auto"/>
        <w:left w:val="none" w:sz="0" w:space="0" w:color="auto"/>
        <w:bottom w:val="none" w:sz="0" w:space="0" w:color="auto"/>
        <w:right w:val="none" w:sz="0" w:space="0" w:color="auto"/>
      </w:divBdr>
    </w:div>
    <w:div w:id="121115834">
      <w:bodyDiv w:val="1"/>
      <w:marLeft w:val="0"/>
      <w:marRight w:val="0"/>
      <w:marTop w:val="0"/>
      <w:marBottom w:val="0"/>
      <w:divBdr>
        <w:top w:val="none" w:sz="0" w:space="0" w:color="auto"/>
        <w:left w:val="none" w:sz="0" w:space="0" w:color="auto"/>
        <w:bottom w:val="none" w:sz="0" w:space="0" w:color="auto"/>
        <w:right w:val="none" w:sz="0" w:space="0" w:color="auto"/>
      </w:divBdr>
    </w:div>
    <w:div w:id="148250551">
      <w:bodyDiv w:val="1"/>
      <w:marLeft w:val="0"/>
      <w:marRight w:val="0"/>
      <w:marTop w:val="0"/>
      <w:marBottom w:val="0"/>
      <w:divBdr>
        <w:top w:val="none" w:sz="0" w:space="0" w:color="auto"/>
        <w:left w:val="none" w:sz="0" w:space="0" w:color="auto"/>
        <w:bottom w:val="none" w:sz="0" w:space="0" w:color="auto"/>
        <w:right w:val="none" w:sz="0" w:space="0" w:color="auto"/>
      </w:divBdr>
    </w:div>
    <w:div w:id="150870762">
      <w:bodyDiv w:val="1"/>
      <w:marLeft w:val="0"/>
      <w:marRight w:val="0"/>
      <w:marTop w:val="0"/>
      <w:marBottom w:val="0"/>
      <w:divBdr>
        <w:top w:val="none" w:sz="0" w:space="0" w:color="auto"/>
        <w:left w:val="none" w:sz="0" w:space="0" w:color="auto"/>
        <w:bottom w:val="none" w:sz="0" w:space="0" w:color="auto"/>
        <w:right w:val="none" w:sz="0" w:space="0" w:color="auto"/>
      </w:divBdr>
    </w:div>
    <w:div w:id="157507087">
      <w:bodyDiv w:val="1"/>
      <w:marLeft w:val="0"/>
      <w:marRight w:val="0"/>
      <w:marTop w:val="0"/>
      <w:marBottom w:val="0"/>
      <w:divBdr>
        <w:top w:val="none" w:sz="0" w:space="0" w:color="auto"/>
        <w:left w:val="none" w:sz="0" w:space="0" w:color="auto"/>
        <w:bottom w:val="none" w:sz="0" w:space="0" w:color="auto"/>
        <w:right w:val="none" w:sz="0" w:space="0" w:color="auto"/>
      </w:divBdr>
    </w:div>
    <w:div w:id="162400384">
      <w:bodyDiv w:val="1"/>
      <w:marLeft w:val="0"/>
      <w:marRight w:val="0"/>
      <w:marTop w:val="0"/>
      <w:marBottom w:val="0"/>
      <w:divBdr>
        <w:top w:val="none" w:sz="0" w:space="0" w:color="auto"/>
        <w:left w:val="none" w:sz="0" w:space="0" w:color="auto"/>
        <w:bottom w:val="none" w:sz="0" w:space="0" w:color="auto"/>
        <w:right w:val="none" w:sz="0" w:space="0" w:color="auto"/>
      </w:divBdr>
    </w:div>
    <w:div w:id="192765799">
      <w:bodyDiv w:val="1"/>
      <w:marLeft w:val="0"/>
      <w:marRight w:val="0"/>
      <w:marTop w:val="0"/>
      <w:marBottom w:val="0"/>
      <w:divBdr>
        <w:top w:val="none" w:sz="0" w:space="0" w:color="auto"/>
        <w:left w:val="none" w:sz="0" w:space="0" w:color="auto"/>
        <w:bottom w:val="none" w:sz="0" w:space="0" w:color="auto"/>
        <w:right w:val="none" w:sz="0" w:space="0" w:color="auto"/>
      </w:divBdr>
    </w:div>
    <w:div w:id="214590476">
      <w:bodyDiv w:val="1"/>
      <w:marLeft w:val="0"/>
      <w:marRight w:val="0"/>
      <w:marTop w:val="0"/>
      <w:marBottom w:val="0"/>
      <w:divBdr>
        <w:top w:val="none" w:sz="0" w:space="0" w:color="auto"/>
        <w:left w:val="none" w:sz="0" w:space="0" w:color="auto"/>
        <w:bottom w:val="none" w:sz="0" w:space="0" w:color="auto"/>
        <w:right w:val="none" w:sz="0" w:space="0" w:color="auto"/>
      </w:divBdr>
    </w:div>
    <w:div w:id="227035307">
      <w:bodyDiv w:val="1"/>
      <w:marLeft w:val="0"/>
      <w:marRight w:val="0"/>
      <w:marTop w:val="0"/>
      <w:marBottom w:val="0"/>
      <w:divBdr>
        <w:top w:val="none" w:sz="0" w:space="0" w:color="auto"/>
        <w:left w:val="none" w:sz="0" w:space="0" w:color="auto"/>
        <w:bottom w:val="none" w:sz="0" w:space="0" w:color="auto"/>
        <w:right w:val="none" w:sz="0" w:space="0" w:color="auto"/>
      </w:divBdr>
    </w:div>
    <w:div w:id="268205229">
      <w:bodyDiv w:val="1"/>
      <w:marLeft w:val="0"/>
      <w:marRight w:val="0"/>
      <w:marTop w:val="0"/>
      <w:marBottom w:val="0"/>
      <w:divBdr>
        <w:top w:val="none" w:sz="0" w:space="0" w:color="auto"/>
        <w:left w:val="none" w:sz="0" w:space="0" w:color="auto"/>
        <w:bottom w:val="none" w:sz="0" w:space="0" w:color="auto"/>
        <w:right w:val="none" w:sz="0" w:space="0" w:color="auto"/>
      </w:divBdr>
    </w:div>
    <w:div w:id="272520392">
      <w:bodyDiv w:val="1"/>
      <w:marLeft w:val="0"/>
      <w:marRight w:val="0"/>
      <w:marTop w:val="0"/>
      <w:marBottom w:val="0"/>
      <w:divBdr>
        <w:top w:val="none" w:sz="0" w:space="0" w:color="auto"/>
        <w:left w:val="none" w:sz="0" w:space="0" w:color="auto"/>
        <w:bottom w:val="none" w:sz="0" w:space="0" w:color="auto"/>
        <w:right w:val="none" w:sz="0" w:space="0" w:color="auto"/>
      </w:divBdr>
    </w:div>
    <w:div w:id="289288211">
      <w:bodyDiv w:val="1"/>
      <w:marLeft w:val="0"/>
      <w:marRight w:val="0"/>
      <w:marTop w:val="0"/>
      <w:marBottom w:val="0"/>
      <w:divBdr>
        <w:top w:val="none" w:sz="0" w:space="0" w:color="auto"/>
        <w:left w:val="none" w:sz="0" w:space="0" w:color="auto"/>
        <w:bottom w:val="none" w:sz="0" w:space="0" w:color="auto"/>
        <w:right w:val="none" w:sz="0" w:space="0" w:color="auto"/>
      </w:divBdr>
    </w:div>
    <w:div w:id="291983030">
      <w:bodyDiv w:val="1"/>
      <w:marLeft w:val="0"/>
      <w:marRight w:val="0"/>
      <w:marTop w:val="0"/>
      <w:marBottom w:val="0"/>
      <w:divBdr>
        <w:top w:val="none" w:sz="0" w:space="0" w:color="auto"/>
        <w:left w:val="none" w:sz="0" w:space="0" w:color="auto"/>
        <w:bottom w:val="none" w:sz="0" w:space="0" w:color="auto"/>
        <w:right w:val="none" w:sz="0" w:space="0" w:color="auto"/>
      </w:divBdr>
    </w:div>
    <w:div w:id="294220201">
      <w:bodyDiv w:val="1"/>
      <w:marLeft w:val="0"/>
      <w:marRight w:val="0"/>
      <w:marTop w:val="0"/>
      <w:marBottom w:val="0"/>
      <w:divBdr>
        <w:top w:val="none" w:sz="0" w:space="0" w:color="auto"/>
        <w:left w:val="none" w:sz="0" w:space="0" w:color="auto"/>
        <w:bottom w:val="none" w:sz="0" w:space="0" w:color="auto"/>
        <w:right w:val="none" w:sz="0" w:space="0" w:color="auto"/>
      </w:divBdr>
    </w:div>
    <w:div w:id="306709726">
      <w:bodyDiv w:val="1"/>
      <w:marLeft w:val="0"/>
      <w:marRight w:val="0"/>
      <w:marTop w:val="0"/>
      <w:marBottom w:val="0"/>
      <w:divBdr>
        <w:top w:val="none" w:sz="0" w:space="0" w:color="auto"/>
        <w:left w:val="none" w:sz="0" w:space="0" w:color="auto"/>
        <w:bottom w:val="none" w:sz="0" w:space="0" w:color="auto"/>
        <w:right w:val="none" w:sz="0" w:space="0" w:color="auto"/>
      </w:divBdr>
    </w:div>
    <w:div w:id="311760863">
      <w:bodyDiv w:val="1"/>
      <w:marLeft w:val="0"/>
      <w:marRight w:val="0"/>
      <w:marTop w:val="0"/>
      <w:marBottom w:val="0"/>
      <w:divBdr>
        <w:top w:val="none" w:sz="0" w:space="0" w:color="auto"/>
        <w:left w:val="none" w:sz="0" w:space="0" w:color="auto"/>
        <w:bottom w:val="none" w:sz="0" w:space="0" w:color="auto"/>
        <w:right w:val="none" w:sz="0" w:space="0" w:color="auto"/>
      </w:divBdr>
    </w:div>
    <w:div w:id="320277613">
      <w:bodyDiv w:val="1"/>
      <w:marLeft w:val="0"/>
      <w:marRight w:val="0"/>
      <w:marTop w:val="0"/>
      <w:marBottom w:val="0"/>
      <w:divBdr>
        <w:top w:val="none" w:sz="0" w:space="0" w:color="auto"/>
        <w:left w:val="none" w:sz="0" w:space="0" w:color="auto"/>
        <w:bottom w:val="none" w:sz="0" w:space="0" w:color="auto"/>
        <w:right w:val="none" w:sz="0" w:space="0" w:color="auto"/>
      </w:divBdr>
    </w:div>
    <w:div w:id="321663466">
      <w:bodyDiv w:val="1"/>
      <w:marLeft w:val="0"/>
      <w:marRight w:val="0"/>
      <w:marTop w:val="0"/>
      <w:marBottom w:val="0"/>
      <w:divBdr>
        <w:top w:val="none" w:sz="0" w:space="0" w:color="auto"/>
        <w:left w:val="none" w:sz="0" w:space="0" w:color="auto"/>
        <w:bottom w:val="none" w:sz="0" w:space="0" w:color="auto"/>
        <w:right w:val="none" w:sz="0" w:space="0" w:color="auto"/>
      </w:divBdr>
    </w:div>
    <w:div w:id="328826289">
      <w:bodyDiv w:val="1"/>
      <w:marLeft w:val="0"/>
      <w:marRight w:val="0"/>
      <w:marTop w:val="0"/>
      <w:marBottom w:val="0"/>
      <w:divBdr>
        <w:top w:val="none" w:sz="0" w:space="0" w:color="auto"/>
        <w:left w:val="none" w:sz="0" w:space="0" w:color="auto"/>
        <w:bottom w:val="none" w:sz="0" w:space="0" w:color="auto"/>
        <w:right w:val="none" w:sz="0" w:space="0" w:color="auto"/>
      </w:divBdr>
    </w:div>
    <w:div w:id="333267934">
      <w:bodyDiv w:val="1"/>
      <w:marLeft w:val="0"/>
      <w:marRight w:val="0"/>
      <w:marTop w:val="0"/>
      <w:marBottom w:val="0"/>
      <w:divBdr>
        <w:top w:val="none" w:sz="0" w:space="0" w:color="auto"/>
        <w:left w:val="none" w:sz="0" w:space="0" w:color="auto"/>
        <w:bottom w:val="none" w:sz="0" w:space="0" w:color="auto"/>
        <w:right w:val="none" w:sz="0" w:space="0" w:color="auto"/>
      </w:divBdr>
    </w:div>
    <w:div w:id="360210836">
      <w:bodyDiv w:val="1"/>
      <w:marLeft w:val="0"/>
      <w:marRight w:val="0"/>
      <w:marTop w:val="0"/>
      <w:marBottom w:val="0"/>
      <w:divBdr>
        <w:top w:val="none" w:sz="0" w:space="0" w:color="auto"/>
        <w:left w:val="none" w:sz="0" w:space="0" w:color="auto"/>
        <w:bottom w:val="none" w:sz="0" w:space="0" w:color="auto"/>
        <w:right w:val="none" w:sz="0" w:space="0" w:color="auto"/>
      </w:divBdr>
    </w:div>
    <w:div w:id="371616474">
      <w:bodyDiv w:val="1"/>
      <w:marLeft w:val="0"/>
      <w:marRight w:val="0"/>
      <w:marTop w:val="0"/>
      <w:marBottom w:val="0"/>
      <w:divBdr>
        <w:top w:val="none" w:sz="0" w:space="0" w:color="auto"/>
        <w:left w:val="none" w:sz="0" w:space="0" w:color="auto"/>
        <w:bottom w:val="none" w:sz="0" w:space="0" w:color="auto"/>
        <w:right w:val="none" w:sz="0" w:space="0" w:color="auto"/>
      </w:divBdr>
    </w:div>
    <w:div w:id="413354243">
      <w:bodyDiv w:val="1"/>
      <w:marLeft w:val="0"/>
      <w:marRight w:val="0"/>
      <w:marTop w:val="0"/>
      <w:marBottom w:val="0"/>
      <w:divBdr>
        <w:top w:val="none" w:sz="0" w:space="0" w:color="auto"/>
        <w:left w:val="none" w:sz="0" w:space="0" w:color="auto"/>
        <w:bottom w:val="none" w:sz="0" w:space="0" w:color="auto"/>
        <w:right w:val="none" w:sz="0" w:space="0" w:color="auto"/>
      </w:divBdr>
    </w:div>
    <w:div w:id="417288753">
      <w:bodyDiv w:val="1"/>
      <w:marLeft w:val="0"/>
      <w:marRight w:val="0"/>
      <w:marTop w:val="0"/>
      <w:marBottom w:val="0"/>
      <w:divBdr>
        <w:top w:val="none" w:sz="0" w:space="0" w:color="auto"/>
        <w:left w:val="none" w:sz="0" w:space="0" w:color="auto"/>
        <w:bottom w:val="none" w:sz="0" w:space="0" w:color="auto"/>
        <w:right w:val="none" w:sz="0" w:space="0" w:color="auto"/>
      </w:divBdr>
    </w:div>
    <w:div w:id="419060185">
      <w:bodyDiv w:val="1"/>
      <w:marLeft w:val="0"/>
      <w:marRight w:val="0"/>
      <w:marTop w:val="0"/>
      <w:marBottom w:val="0"/>
      <w:divBdr>
        <w:top w:val="none" w:sz="0" w:space="0" w:color="auto"/>
        <w:left w:val="none" w:sz="0" w:space="0" w:color="auto"/>
        <w:bottom w:val="none" w:sz="0" w:space="0" w:color="auto"/>
        <w:right w:val="none" w:sz="0" w:space="0" w:color="auto"/>
      </w:divBdr>
      <w:divsChild>
        <w:div w:id="397437029">
          <w:marLeft w:val="0"/>
          <w:marRight w:val="0"/>
          <w:marTop w:val="0"/>
          <w:marBottom w:val="0"/>
          <w:divBdr>
            <w:top w:val="none" w:sz="0" w:space="0" w:color="auto"/>
            <w:left w:val="none" w:sz="0" w:space="0" w:color="auto"/>
            <w:bottom w:val="none" w:sz="0" w:space="0" w:color="auto"/>
            <w:right w:val="none" w:sz="0" w:space="0" w:color="auto"/>
          </w:divBdr>
        </w:div>
      </w:divsChild>
    </w:div>
    <w:div w:id="427433390">
      <w:bodyDiv w:val="1"/>
      <w:marLeft w:val="0"/>
      <w:marRight w:val="0"/>
      <w:marTop w:val="0"/>
      <w:marBottom w:val="0"/>
      <w:divBdr>
        <w:top w:val="none" w:sz="0" w:space="0" w:color="auto"/>
        <w:left w:val="none" w:sz="0" w:space="0" w:color="auto"/>
        <w:bottom w:val="none" w:sz="0" w:space="0" w:color="auto"/>
        <w:right w:val="none" w:sz="0" w:space="0" w:color="auto"/>
      </w:divBdr>
    </w:div>
    <w:div w:id="435565502">
      <w:bodyDiv w:val="1"/>
      <w:marLeft w:val="0"/>
      <w:marRight w:val="0"/>
      <w:marTop w:val="0"/>
      <w:marBottom w:val="0"/>
      <w:divBdr>
        <w:top w:val="none" w:sz="0" w:space="0" w:color="auto"/>
        <w:left w:val="none" w:sz="0" w:space="0" w:color="auto"/>
        <w:bottom w:val="none" w:sz="0" w:space="0" w:color="auto"/>
        <w:right w:val="none" w:sz="0" w:space="0" w:color="auto"/>
      </w:divBdr>
    </w:div>
    <w:div w:id="438453393">
      <w:bodyDiv w:val="1"/>
      <w:marLeft w:val="0"/>
      <w:marRight w:val="0"/>
      <w:marTop w:val="0"/>
      <w:marBottom w:val="0"/>
      <w:divBdr>
        <w:top w:val="none" w:sz="0" w:space="0" w:color="auto"/>
        <w:left w:val="none" w:sz="0" w:space="0" w:color="auto"/>
        <w:bottom w:val="none" w:sz="0" w:space="0" w:color="auto"/>
        <w:right w:val="none" w:sz="0" w:space="0" w:color="auto"/>
      </w:divBdr>
    </w:div>
    <w:div w:id="460997650">
      <w:bodyDiv w:val="1"/>
      <w:marLeft w:val="0"/>
      <w:marRight w:val="0"/>
      <w:marTop w:val="0"/>
      <w:marBottom w:val="0"/>
      <w:divBdr>
        <w:top w:val="none" w:sz="0" w:space="0" w:color="auto"/>
        <w:left w:val="none" w:sz="0" w:space="0" w:color="auto"/>
        <w:bottom w:val="none" w:sz="0" w:space="0" w:color="auto"/>
        <w:right w:val="none" w:sz="0" w:space="0" w:color="auto"/>
      </w:divBdr>
    </w:div>
    <w:div w:id="477192660">
      <w:bodyDiv w:val="1"/>
      <w:marLeft w:val="0"/>
      <w:marRight w:val="0"/>
      <w:marTop w:val="0"/>
      <w:marBottom w:val="0"/>
      <w:divBdr>
        <w:top w:val="none" w:sz="0" w:space="0" w:color="auto"/>
        <w:left w:val="none" w:sz="0" w:space="0" w:color="auto"/>
        <w:bottom w:val="none" w:sz="0" w:space="0" w:color="auto"/>
        <w:right w:val="none" w:sz="0" w:space="0" w:color="auto"/>
      </w:divBdr>
    </w:div>
    <w:div w:id="483618612">
      <w:bodyDiv w:val="1"/>
      <w:marLeft w:val="0"/>
      <w:marRight w:val="0"/>
      <w:marTop w:val="0"/>
      <w:marBottom w:val="0"/>
      <w:divBdr>
        <w:top w:val="none" w:sz="0" w:space="0" w:color="auto"/>
        <w:left w:val="none" w:sz="0" w:space="0" w:color="auto"/>
        <w:bottom w:val="none" w:sz="0" w:space="0" w:color="auto"/>
        <w:right w:val="none" w:sz="0" w:space="0" w:color="auto"/>
      </w:divBdr>
    </w:div>
    <w:div w:id="528490062">
      <w:bodyDiv w:val="1"/>
      <w:marLeft w:val="0"/>
      <w:marRight w:val="0"/>
      <w:marTop w:val="0"/>
      <w:marBottom w:val="0"/>
      <w:divBdr>
        <w:top w:val="none" w:sz="0" w:space="0" w:color="auto"/>
        <w:left w:val="none" w:sz="0" w:space="0" w:color="auto"/>
        <w:bottom w:val="none" w:sz="0" w:space="0" w:color="auto"/>
        <w:right w:val="none" w:sz="0" w:space="0" w:color="auto"/>
      </w:divBdr>
    </w:div>
    <w:div w:id="530604783">
      <w:bodyDiv w:val="1"/>
      <w:marLeft w:val="0"/>
      <w:marRight w:val="0"/>
      <w:marTop w:val="0"/>
      <w:marBottom w:val="0"/>
      <w:divBdr>
        <w:top w:val="none" w:sz="0" w:space="0" w:color="auto"/>
        <w:left w:val="none" w:sz="0" w:space="0" w:color="auto"/>
        <w:bottom w:val="none" w:sz="0" w:space="0" w:color="auto"/>
        <w:right w:val="none" w:sz="0" w:space="0" w:color="auto"/>
      </w:divBdr>
    </w:div>
    <w:div w:id="539434520">
      <w:bodyDiv w:val="1"/>
      <w:marLeft w:val="0"/>
      <w:marRight w:val="0"/>
      <w:marTop w:val="0"/>
      <w:marBottom w:val="0"/>
      <w:divBdr>
        <w:top w:val="none" w:sz="0" w:space="0" w:color="auto"/>
        <w:left w:val="none" w:sz="0" w:space="0" w:color="auto"/>
        <w:bottom w:val="none" w:sz="0" w:space="0" w:color="auto"/>
        <w:right w:val="none" w:sz="0" w:space="0" w:color="auto"/>
      </w:divBdr>
    </w:div>
    <w:div w:id="556430493">
      <w:bodyDiv w:val="1"/>
      <w:marLeft w:val="0"/>
      <w:marRight w:val="0"/>
      <w:marTop w:val="0"/>
      <w:marBottom w:val="0"/>
      <w:divBdr>
        <w:top w:val="none" w:sz="0" w:space="0" w:color="auto"/>
        <w:left w:val="none" w:sz="0" w:space="0" w:color="auto"/>
        <w:bottom w:val="none" w:sz="0" w:space="0" w:color="auto"/>
        <w:right w:val="none" w:sz="0" w:space="0" w:color="auto"/>
      </w:divBdr>
    </w:div>
    <w:div w:id="594679027">
      <w:bodyDiv w:val="1"/>
      <w:marLeft w:val="0"/>
      <w:marRight w:val="0"/>
      <w:marTop w:val="0"/>
      <w:marBottom w:val="0"/>
      <w:divBdr>
        <w:top w:val="none" w:sz="0" w:space="0" w:color="auto"/>
        <w:left w:val="none" w:sz="0" w:space="0" w:color="auto"/>
        <w:bottom w:val="none" w:sz="0" w:space="0" w:color="auto"/>
        <w:right w:val="none" w:sz="0" w:space="0" w:color="auto"/>
      </w:divBdr>
    </w:div>
    <w:div w:id="609553900">
      <w:bodyDiv w:val="1"/>
      <w:marLeft w:val="0"/>
      <w:marRight w:val="0"/>
      <w:marTop w:val="0"/>
      <w:marBottom w:val="0"/>
      <w:divBdr>
        <w:top w:val="none" w:sz="0" w:space="0" w:color="auto"/>
        <w:left w:val="none" w:sz="0" w:space="0" w:color="auto"/>
        <w:bottom w:val="none" w:sz="0" w:space="0" w:color="auto"/>
        <w:right w:val="none" w:sz="0" w:space="0" w:color="auto"/>
      </w:divBdr>
    </w:div>
    <w:div w:id="615406311">
      <w:bodyDiv w:val="1"/>
      <w:marLeft w:val="0"/>
      <w:marRight w:val="0"/>
      <w:marTop w:val="0"/>
      <w:marBottom w:val="0"/>
      <w:divBdr>
        <w:top w:val="none" w:sz="0" w:space="0" w:color="auto"/>
        <w:left w:val="none" w:sz="0" w:space="0" w:color="auto"/>
        <w:bottom w:val="none" w:sz="0" w:space="0" w:color="auto"/>
        <w:right w:val="none" w:sz="0" w:space="0" w:color="auto"/>
      </w:divBdr>
    </w:div>
    <w:div w:id="621881955">
      <w:bodyDiv w:val="1"/>
      <w:marLeft w:val="0"/>
      <w:marRight w:val="0"/>
      <w:marTop w:val="0"/>
      <w:marBottom w:val="0"/>
      <w:divBdr>
        <w:top w:val="none" w:sz="0" w:space="0" w:color="auto"/>
        <w:left w:val="none" w:sz="0" w:space="0" w:color="auto"/>
        <w:bottom w:val="none" w:sz="0" w:space="0" w:color="auto"/>
        <w:right w:val="none" w:sz="0" w:space="0" w:color="auto"/>
      </w:divBdr>
    </w:div>
    <w:div w:id="633951899">
      <w:bodyDiv w:val="1"/>
      <w:marLeft w:val="0"/>
      <w:marRight w:val="0"/>
      <w:marTop w:val="0"/>
      <w:marBottom w:val="0"/>
      <w:divBdr>
        <w:top w:val="none" w:sz="0" w:space="0" w:color="auto"/>
        <w:left w:val="none" w:sz="0" w:space="0" w:color="auto"/>
        <w:bottom w:val="none" w:sz="0" w:space="0" w:color="auto"/>
        <w:right w:val="none" w:sz="0" w:space="0" w:color="auto"/>
      </w:divBdr>
    </w:div>
    <w:div w:id="648822137">
      <w:bodyDiv w:val="1"/>
      <w:marLeft w:val="0"/>
      <w:marRight w:val="0"/>
      <w:marTop w:val="0"/>
      <w:marBottom w:val="0"/>
      <w:divBdr>
        <w:top w:val="none" w:sz="0" w:space="0" w:color="auto"/>
        <w:left w:val="none" w:sz="0" w:space="0" w:color="auto"/>
        <w:bottom w:val="none" w:sz="0" w:space="0" w:color="auto"/>
        <w:right w:val="none" w:sz="0" w:space="0" w:color="auto"/>
      </w:divBdr>
    </w:div>
    <w:div w:id="663125741">
      <w:bodyDiv w:val="1"/>
      <w:marLeft w:val="0"/>
      <w:marRight w:val="0"/>
      <w:marTop w:val="0"/>
      <w:marBottom w:val="0"/>
      <w:divBdr>
        <w:top w:val="none" w:sz="0" w:space="0" w:color="auto"/>
        <w:left w:val="none" w:sz="0" w:space="0" w:color="auto"/>
        <w:bottom w:val="none" w:sz="0" w:space="0" w:color="auto"/>
        <w:right w:val="none" w:sz="0" w:space="0" w:color="auto"/>
      </w:divBdr>
    </w:div>
    <w:div w:id="664817729">
      <w:bodyDiv w:val="1"/>
      <w:marLeft w:val="0"/>
      <w:marRight w:val="0"/>
      <w:marTop w:val="0"/>
      <w:marBottom w:val="0"/>
      <w:divBdr>
        <w:top w:val="none" w:sz="0" w:space="0" w:color="auto"/>
        <w:left w:val="none" w:sz="0" w:space="0" w:color="auto"/>
        <w:bottom w:val="none" w:sz="0" w:space="0" w:color="auto"/>
        <w:right w:val="none" w:sz="0" w:space="0" w:color="auto"/>
      </w:divBdr>
    </w:div>
    <w:div w:id="679937278">
      <w:bodyDiv w:val="1"/>
      <w:marLeft w:val="0"/>
      <w:marRight w:val="0"/>
      <w:marTop w:val="0"/>
      <w:marBottom w:val="0"/>
      <w:divBdr>
        <w:top w:val="none" w:sz="0" w:space="0" w:color="auto"/>
        <w:left w:val="none" w:sz="0" w:space="0" w:color="auto"/>
        <w:bottom w:val="none" w:sz="0" w:space="0" w:color="auto"/>
        <w:right w:val="none" w:sz="0" w:space="0" w:color="auto"/>
      </w:divBdr>
    </w:div>
    <w:div w:id="683825489">
      <w:bodyDiv w:val="1"/>
      <w:marLeft w:val="0"/>
      <w:marRight w:val="0"/>
      <w:marTop w:val="0"/>
      <w:marBottom w:val="0"/>
      <w:divBdr>
        <w:top w:val="none" w:sz="0" w:space="0" w:color="auto"/>
        <w:left w:val="none" w:sz="0" w:space="0" w:color="auto"/>
        <w:bottom w:val="none" w:sz="0" w:space="0" w:color="auto"/>
        <w:right w:val="none" w:sz="0" w:space="0" w:color="auto"/>
      </w:divBdr>
    </w:div>
    <w:div w:id="688415799">
      <w:bodyDiv w:val="1"/>
      <w:marLeft w:val="0"/>
      <w:marRight w:val="0"/>
      <w:marTop w:val="0"/>
      <w:marBottom w:val="0"/>
      <w:divBdr>
        <w:top w:val="none" w:sz="0" w:space="0" w:color="auto"/>
        <w:left w:val="none" w:sz="0" w:space="0" w:color="auto"/>
        <w:bottom w:val="none" w:sz="0" w:space="0" w:color="auto"/>
        <w:right w:val="none" w:sz="0" w:space="0" w:color="auto"/>
      </w:divBdr>
    </w:div>
    <w:div w:id="692459728">
      <w:bodyDiv w:val="1"/>
      <w:marLeft w:val="0"/>
      <w:marRight w:val="0"/>
      <w:marTop w:val="0"/>
      <w:marBottom w:val="0"/>
      <w:divBdr>
        <w:top w:val="none" w:sz="0" w:space="0" w:color="auto"/>
        <w:left w:val="none" w:sz="0" w:space="0" w:color="auto"/>
        <w:bottom w:val="none" w:sz="0" w:space="0" w:color="auto"/>
        <w:right w:val="none" w:sz="0" w:space="0" w:color="auto"/>
      </w:divBdr>
    </w:div>
    <w:div w:id="704603425">
      <w:bodyDiv w:val="1"/>
      <w:marLeft w:val="0"/>
      <w:marRight w:val="0"/>
      <w:marTop w:val="0"/>
      <w:marBottom w:val="0"/>
      <w:divBdr>
        <w:top w:val="none" w:sz="0" w:space="0" w:color="auto"/>
        <w:left w:val="none" w:sz="0" w:space="0" w:color="auto"/>
        <w:bottom w:val="none" w:sz="0" w:space="0" w:color="auto"/>
        <w:right w:val="none" w:sz="0" w:space="0" w:color="auto"/>
      </w:divBdr>
    </w:div>
    <w:div w:id="756755625">
      <w:bodyDiv w:val="1"/>
      <w:marLeft w:val="0"/>
      <w:marRight w:val="0"/>
      <w:marTop w:val="0"/>
      <w:marBottom w:val="0"/>
      <w:divBdr>
        <w:top w:val="none" w:sz="0" w:space="0" w:color="auto"/>
        <w:left w:val="none" w:sz="0" w:space="0" w:color="auto"/>
        <w:bottom w:val="none" w:sz="0" w:space="0" w:color="auto"/>
        <w:right w:val="none" w:sz="0" w:space="0" w:color="auto"/>
      </w:divBdr>
    </w:div>
    <w:div w:id="770861248">
      <w:bodyDiv w:val="1"/>
      <w:marLeft w:val="0"/>
      <w:marRight w:val="0"/>
      <w:marTop w:val="0"/>
      <w:marBottom w:val="0"/>
      <w:divBdr>
        <w:top w:val="none" w:sz="0" w:space="0" w:color="auto"/>
        <w:left w:val="none" w:sz="0" w:space="0" w:color="auto"/>
        <w:bottom w:val="none" w:sz="0" w:space="0" w:color="auto"/>
        <w:right w:val="none" w:sz="0" w:space="0" w:color="auto"/>
      </w:divBdr>
    </w:div>
    <w:div w:id="789324575">
      <w:bodyDiv w:val="1"/>
      <w:marLeft w:val="0"/>
      <w:marRight w:val="0"/>
      <w:marTop w:val="0"/>
      <w:marBottom w:val="0"/>
      <w:divBdr>
        <w:top w:val="none" w:sz="0" w:space="0" w:color="auto"/>
        <w:left w:val="none" w:sz="0" w:space="0" w:color="auto"/>
        <w:bottom w:val="none" w:sz="0" w:space="0" w:color="auto"/>
        <w:right w:val="none" w:sz="0" w:space="0" w:color="auto"/>
      </w:divBdr>
    </w:div>
    <w:div w:id="819535713">
      <w:bodyDiv w:val="1"/>
      <w:marLeft w:val="0"/>
      <w:marRight w:val="0"/>
      <w:marTop w:val="0"/>
      <w:marBottom w:val="0"/>
      <w:divBdr>
        <w:top w:val="none" w:sz="0" w:space="0" w:color="auto"/>
        <w:left w:val="none" w:sz="0" w:space="0" w:color="auto"/>
        <w:bottom w:val="none" w:sz="0" w:space="0" w:color="auto"/>
        <w:right w:val="none" w:sz="0" w:space="0" w:color="auto"/>
      </w:divBdr>
    </w:div>
    <w:div w:id="849178915">
      <w:bodyDiv w:val="1"/>
      <w:marLeft w:val="0"/>
      <w:marRight w:val="0"/>
      <w:marTop w:val="0"/>
      <w:marBottom w:val="0"/>
      <w:divBdr>
        <w:top w:val="none" w:sz="0" w:space="0" w:color="auto"/>
        <w:left w:val="none" w:sz="0" w:space="0" w:color="auto"/>
        <w:bottom w:val="none" w:sz="0" w:space="0" w:color="auto"/>
        <w:right w:val="none" w:sz="0" w:space="0" w:color="auto"/>
      </w:divBdr>
    </w:div>
    <w:div w:id="864294014">
      <w:bodyDiv w:val="1"/>
      <w:marLeft w:val="0"/>
      <w:marRight w:val="0"/>
      <w:marTop w:val="0"/>
      <w:marBottom w:val="0"/>
      <w:divBdr>
        <w:top w:val="none" w:sz="0" w:space="0" w:color="auto"/>
        <w:left w:val="none" w:sz="0" w:space="0" w:color="auto"/>
        <w:bottom w:val="none" w:sz="0" w:space="0" w:color="auto"/>
        <w:right w:val="none" w:sz="0" w:space="0" w:color="auto"/>
      </w:divBdr>
    </w:div>
    <w:div w:id="872771609">
      <w:bodyDiv w:val="1"/>
      <w:marLeft w:val="0"/>
      <w:marRight w:val="0"/>
      <w:marTop w:val="0"/>
      <w:marBottom w:val="0"/>
      <w:divBdr>
        <w:top w:val="none" w:sz="0" w:space="0" w:color="auto"/>
        <w:left w:val="none" w:sz="0" w:space="0" w:color="auto"/>
        <w:bottom w:val="none" w:sz="0" w:space="0" w:color="auto"/>
        <w:right w:val="none" w:sz="0" w:space="0" w:color="auto"/>
      </w:divBdr>
    </w:div>
    <w:div w:id="874316738">
      <w:bodyDiv w:val="1"/>
      <w:marLeft w:val="0"/>
      <w:marRight w:val="0"/>
      <w:marTop w:val="0"/>
      <w:marBottom w:val="0"/>
      <w:divBdr>
        <w:top w:val="none" w:sz="0" w:space="0" w:color="auto"/>
        <w:left w:val="none" w:sz="0" w:space="0" w:color="auto"/>
        <w:bottom w:val="none" w:sz="0" w:space="0" w:color="auto"/>
        <w:right w:val="none" w:sz="0" w:space="0" w:color="auto"/>
      </w:divBdr>
    </w:div>
    <w:div w:id="874660507">
      <w:bodyDiv w:val="1"/>
      <w:marLeft w:val="0"/>
      <w:marRight w:val="0"/>
      <w:marTop w:val="0"/>
      <w:marBottom w:val="0"/>
      <w:divBdr>
        <w:top w:val="none" w:sz="0" w:space="0" w:color="auto"/>
        <w:left w:val="none" w:sz="0" w:space="0" w:color="auto"/>
        <w:bottom w:val="none" w:sz="0" w:space="0" w:color="auto"/>
        <w:right w:val="none" w:sz="0" w:space="0" w:color="auto"/>
      </w:divBdr>
    </w:div>
    <w:div w:id="883521048">
      <w:bodyDiv w:val="1"/>
      <w:marLeft w:val="0"/>
      <w:marRight w:val="0"/>
      <w:marTop w:val="0"/>
      <w:marBottom w:val="0"/>
      <w:divBdr>
        <w:top w:val="none" w:sz="0" w:space="0" w:color="auto"/>
        <w:left w:val="none" w:sz="0" w:space="0" w:color="auto"/>
        <w:bottom w:val="none" w:sz="0" w:space="0" w:color="auto"/>
        <w:right w:val="none" w:sz="0" w:space="0" w:color="auto"/>
      </w:divBdr>
    </w:div>
    <w:div w:id="887648968">
      <w:bodyDiv w:val="1"/>
      <w:marLeft w:val="0"/>
      <w:marRight w:val="0"/>
      <w:marTop w:val="0"/>
      <w:marBottom w:val="0"/>
      <w:divBdr>
        <w:top w:val="none" w:sz="0" w:space="0" w:color="auto"/>
        <w:left w:val="none" w:sz="0" w:space="0" w:color="auto"/>
        <w:bottom w:val="none" w:sz="0" w:space="0" w:color="auto"/>
        <w:right w:val="none" w:sz="0" w:space="0" w:color="auto"/>
      </w:divBdr>
    </w:div>
    <w:div w:id="895512168">
      <w:bodyDiv w:val="1"/>
      <w:marLeft w:val="0"/>
      <w:marRight w:val="0"/>
      <w:marTop w:val="0"/>
      <w:marBottom w:val="0"/>
      <w:divBdr>
        <w:top w:val="none" w:sz="0" w:space="0" w:color="auto"/>
        <w:left w:val="none" w:sz="0" w:space="0" w:color="auto"/>
        <w:bottom w:val="none" w:sz="0" w:space="0" w:color="auto"/>
        <w:right w:val="none" w:sz="0" w:space="0" w:color="auto"/>
      </w:divBdr>
    </w:div>
    <w:div w:id="914893675">
      <w:bodyDiv w:val="1"/>
      <w:marLeft w:val="0"/>
      <w:marRight w:val="0"/>
      <w:marTop w:val="0"/>
      <w:marBottom w:val="0"/>
      <w:divBdr>
        <w:top w:val="none" w:sz="0" w:space="0" w:color="auto"/>
        <w:left w:val="none" w:sz="0" w:space="0" w:color="auto"/>
        <w:bottom w:val="none" w:sz="0" w:space="0" w:color="auto"/>
        <w:right w:val="none" w:sz="0" w:space="0" w:color="auto"/>
      </w:divBdr>
    </w:div>
    <w:div w:id="916397467">
      <w:bodyDiv w:val="1"/>
      <w:marLeft w:val="0"/>
      <w:marRight w:val="0"/>
      <w:marTop w:val="0"/>
      <w:marBottom w:val="0"/>
      <w:divBdr>
        <w:top w:val="none" w:sz="0" w:space="0" w:color="auto"/>
        <w:left w:val="none" w:sz="0" w:space="0" w:color="auto"/>
        <w:bottom w:val="none" w:sz="0" w:space="0" w:color="auto"/>
        <w:right w:val="none" w:sz="0" w:space="0" w:color="auto"/>
      </w:divBdr>
    </w:div>
    <w:div w:id="939335417">
      <w:bodyDiv w:val="1"/>
      <w:marLeft w:val="0"/>
      <w:marRight w:val="0"/>
      <w:marTop w:val="0"/>
      <w:marBottom w:val="0"/>
      <w:divBdr>
        <w:top w:val="none" w:sz="0" w:space="0" w:color="auto"/>
        <w:left w:val="none" w:sz="0" w:space="0" w:color="auto"/>
        <w:bottom w:val="none" w:sz="0" w:space="0" w:color="auto"/>
        <w:right w:val="none" w:sz="0" w:space="0" w:color="auto"/>
      </w:divBdr>
    </w:div>
    <w:div w:id="944927557">
      <w:bodyDiv w:val="1"/>
      <w:marLeft w:val="0"/>
      <w:marRight w:val="0"/>
      <w:marTop w:val="0"/>
      <w:marBottom w:val="0"/>
      <w:divBdr>
        <w:top w:val="none" w:sz="0" w:space="0" w:color="auto"/>
        <w:left w:val="none" w:sz="0" w:space="0" w:color="auto"/>
        <w:bottom w:val="none" w:sz="0" w:space="0" w:color="auto"/>
        <w:right w:val="none" w:sz="0" w:space="0" w:color="auto"/>
      </w:divBdr>
    </w:div>
    <w:div w:id="952059202">
      <w:bodyDiv w:val="1"/>
      <w:marLeft w:val="0"/>
      <w:marRight w:val="0"/>
      <w:marTop w:val="0"/>
      <w:marBottom w:val="0"/>
      <w:divBdr>
        <w:top w:val="none" w:sz="0" w:space="0" w:color="auto"/>
        <w:left w:val="none" w:sz="0" w:space="0" w:color="auto"/>
        <w:bottom w:val="none" w:sz="0" w:space="0" w:color="auto"/>
        <w:right w:val="none" w:sz="0" w:space="0" w:color="auto"/>
      </w:divBdr>
    </w:div>
    <w:div w:id="1018969673">
      <w:bodyDiv w:val="1"/>
      <w:marLeft w:val="0"/>
      <w:marRight w:val="0"/>
      <w:marTop w:val="0"/>
      <w:marBottom w:val="0"/>
      <w:divBdr>
        <w:top w:val="none" w:sz="0" w:space="0" w:color="auto"/>
        <w:left w:val="none" w:sz="0" w:space="0" w:color="auto"/>
        <w:bottom w:val="none" w:sz="0" w:space="0" w:color="auto"/>
        <w:right w:val="none" w:sz="0" w:space="0" w:color="auto"/>
      </w:divBdr>
    </w:div>
    <w:div w:id="1021735160">
      <w:bodyDiv w:val="1"/>
      <w:marLeft w:val="0"/>
      <w:marRight w:val="0"/>
      <w:marTop w:val="0"/>
      <w:marBottom w:val="0"/>
      <w:divBdr>
        <w:top w:val="none" w:sz="0" w:space="0" w:color="auto"/>
        <w:left w:val="none" w:sz="0" w:space="0" w:color="auto"/>
        <w:bottom w:val="none" w:sz="0" w:space="0" w:color="auto"/>
        <w:right w:val="none" w:sz="0" w:space="0" w:color="auto"/>
      </w:divBdr>
    </w:div>
    <w:div w:id="1025404723">
      <w:bodyDiv w:val="1"/>
      <w:marLeft w:val="0"/>
      <w:marRight w:val="0"/>
      <w:marTop w:val="0"/>
      <w:marBottom w:val="0"/>
      <w:divBdr>
        <w:top w:val="none" w:sz="0" w:space="0" w:color="auto"/>
        <w:left w:val="none" w:sz="0" w:space="0" w:color="auto"/>
        <w:bottom w:val="none" w:sz="0" w:space="0" w:color="auto"/>
        <w:right w:val="none" w:sz="0" w:space="0" w:color="auto"/>
      </w:divBdr>
    </w:div>
    <w:div w:id="1074472511">
      <w:bodyDiv w:val="1"/>
      <w:marLeft w:val="0"/>
      <w:marRight w:val="0"/>
      <w:marTop w:val="0"/>
      <w:marBottom w:val="0"/>
      <w:divBdr>
        <w:top w:val="none" w:sz="0" w:space="0" w:color="auto"/>
        <w:left w:val="none" w:sz="0" w:space="0" w:color="auto"/>
        <w:bottom w:val="none" w:sz="0" w:space="0" w:color="auto"/>
        <w:right w:val="none" w:sz="0" w:space="0" w:color="auto"/>
      </w:divBdr>
    </w:div>
    <w:div w:id="1100296362">
      <w:bodyDiv w:val="1"/>
      <w:marLeft w:val="0"/>
      <w:marRight w:val="0"/>
      <w:marTop w:val="0"/>
      <w:marBottom w:val="0"/>
      <w:divBdr>
        <w:top w:val="none" w:sz="0" w:space="0" w:color="auto"/>
        <w:left w:val="none" w:sz="0" w:space="0" w:color="auto"/>
        <w:bottom w:val="none" w:sz="0" w:space="0" w:color="auto"/>
        <w:right w:val="none" w:sz="0" w:space="0" w:color="auto"/>
      </w:divBdr>
    </w:div>
    <w:div w:id="1103307925">
      <w:bodyDiv w:val="1"/>
      <w:marLeft w:val="0"/>
      <w:marRight w:val="0"/>
      <w:marTop w:val="0"/>
      <w:marBottom w:val="0"/>
      <w:divBdr>
        <w:top w:val="none" w:sz="0" w:space="0" w:color="auto"/>
        <w:left w:val="none" w:sz="0" w:space="0" w:color="auto"/>
        <w:bottom w:val="none" w:sz="0" w:space="0" w:color="auto"/>
        <w:right w:val="none" w:sz="0" w:space="0" w:color="auto"/>
      </w:divBdr>
    </w:div>
    <w:div w:id="1104492920">
      <w:bodyDiv w:val="1"/>
      <w:marLeft w:val="0"/>
      <w:marRight w:val="0"/>
      <w:marTop w:val="0"/>
      <w:marBottom w:val="0"/>
      <w:divBdr>
        <w:top w:val="none" w:sz="0" w:space="0" w:color="auto"/>
        <w:left w:val="none" w:sz="0" w:space="0" w:color="auto"/>
        <w:bottom w:val="none" w:sz="0" w:space="0" w:color="auto"/>
        <w:right w:val="none" w:sz="0" w:space="0" w:color="auto"/>
      </w:divBdr>
    </w:div>
    <w:div w:id="1105534599">
      <w:bodyDiv w:val="1"/>
      <w:marLeft w:val="0"/>
      <w:marRight w:val="0"/>
      <w:marTop w:val="0"/>
      <w:marBottom w:val="0"/>
      <w:divBdr>
        <w:top w:val="none" w:sz="0" w:space="0" w:color="auto"/>
        <w:left w:val="none" w:sz="0" w:space="0" w:color="auto"/>
        <w:bottom w:val="none" w:sz="0" w:space="0" w:color="auto"/>
        <w:right w:val="none" w:sz="0" w:space="0" w:color="auto"/>
      </w:divBdr>
    </w:div>
    <w:div w:id="1121802768">
      <w:bodyDiv w:val="1"/>
      <w:marLeft w:val="0"/>
      <w:marRight w:val="0"/>
      <w:marTop w:val="0"/>
      <w:marBottom w:val="0"/>
      <w:divBdr>
        <w:top w:val="none" w:sz="0" w:space="0" w:color="auto"/>
        <w:left w:val="none" w:sz="0" w:space="0" w:color="auto"/>
        <w:bottom w:val="none" w:sz="0" w:space="0" w:color="auto"/>
        <w:right w:val="none" w:sz="0" w:space="0" w:color="auto"/>
      </w:divBdr>
    </w:div>
    <w:div w:id="1142384056">
      <w:bodyDiv w:val="1"/>
      <w:marLeft w:val="0"/>
      <w:marRight w:val="0"/>
      <w:marTop w:val="0"/>
      <w:marBottom w:val="0"/>
      <w:divBdr>
        <w:top w:val="none" w:sz="0" w:space="0" w:color="auto"/>
        <w:left w:val="none" w:sz="0" w:space="0" w:color="auto"/>
        <w:bottom w:val="none" w:sz="0" w:space="0" w:color="auto"/>
        <w:right w:val="none" w:sz="0" w:space="0" w:color="auto"/>
      </w:divBdr>
    </w:div>
    <w:div w:id="1159540538">
      <w:bodyDiv w:val="1"/>
      <w:marLeft w:val="0"/>
      <w:marRight w:val="0"/>
      <w:marTop w:val="0"/>
      <w:marBottom w:val="0"/>
      <w:divBdr>
        <w:top w:val="none" w:sz="0" w:space="0" w:color="auto"/>
        <w:left w:val="none" w:sz="0" w:space="0" w:color="auto"/>
        <w:bottom w:val="none" w:sz="0" w:space="0" w:color="auto"/>
        <w:right w:val="none" w:sz="0" w:space="0" w:color="auto"/>
      </w:divBdr>
    </w:div>
    <w:div w:id="1181091483">
      <w:bodyDiv w:val="1"/>
      <w:marLeft w:val="0"/>
      <w:marRight w:val="0"/>
      <w:marTop w:val="0"/>
      <w:marBottom w:val="0"/>
      <w:divBdr>
        <w:top w:val="none" w:sz="0" w:space="0" w:color="auto"/>
        <w:left w:val="none" w:sz="0" w:space="0" w:color="auto"/>
        <w:bottom w:val="none" w:sz="0" w:space="0" w:color="auto"/>
        <w:right w:val="none" w:sz="0" w:space="0" w:color="auto"/>
      </w:divBdr>
    </w:div>
    <w:div w:id="1182471385">
      <w:bodyDiv w:val="1"/>
      <w:marLeft w:val="0"/>
      <w:marRight w:val="0"/>
      <w:marTop w:val="0"/>
      <w:marBottom w:val="0"/>
      <w:divBdr>
        <w:top w:val="none" w:sz="0" w:space="0" w:color="auto"/>
        <w:left w:val="none" w:sz="0" w:space="0" w:color="auto"/>
        <w:bottom w:val="none" w:sz="0" w:space="0" w:color="auto"/>
        <w:right w:val="none" w:sz="0" w:space="0" w:color="auto"/>
      </w:divBdr>
    </w:div>
    <w:div w:id="1191652801">
      <w:bodyDiv w:val="1"/>
      <w:marLeft w:val="0"/>
      <w:marRight w:val="0"/>
      <w:marTop w:val="0"/>
      <w:marBottom w:val="0"/>
      <w:divBdr>
        <w:top w:val="none" w:sz="0" w:space="0" w:color="auto"/>
        <w:left w:val="none" w:sz="0" w:space="0" w:color="auto"/>
        <w:bottom w:val="none" w:sz="0" w:space="0" w:color="auto"/>
        <w:right w:val="none" w:sz="0" w:space="0" w:color="auto"/>
      </w:divBdr>
    </w:div>
    <w:div w:id="1195584345">
      <w:bodyDiv w:val="1"/>
      <w:marLeft w:val="0"/>
      <w:marRight w:val="0"/>
      <w:marTop w:val="0"/>
      <w:marBottom w:val="0"/>
      <w:divBdr>
        <w:top w:val="none" w:sz="0" w:space="0" w:color="auto"/>
        <w:left w:val="none" w:sz="0" w:space="0" w:color="auto"/>
        <w:bottom w:val="none" w:sz="0" w:space="0" w:color="auto"/>
        <w:right w:val="none" w:sz="0" w:space="0" w:color="auto"/>
      </w:divBdr>
    </w:div>
    <w:div w:id="1203011140">
      <w:bodyDiv w:val="1"/>
      <w:marLeft w:val="0"/>
      <w:marRight w:val="0"/>
      <w:marTop w:val="0"/>
      <w:marBottom w:val="0"/>
      <w:divBdr>
        <w:top w:val="none" w:sz="0" w:space="0" w:color="auto"/>
        <w:left w:val="none" w:sz="0" w:space="0" w:color="auto"/>
        <w:bottom w:val="none" w:sz="0" w:space="0" w:color="auto"/>
        <w:right w:val="none" w:sz="0" w:space="0" w:color="auto"/>
      </w:divBdr>
    </w:div>
    <w:div w:id="1210920060">
      <w:bodyDiv w:val="1"/>
      <w:marLeft w:val="0"/>
      <w:marRight w:val="0"/>
      <w:marTop w:val="0"/>
      <w:marBottom w:val="0"/>
      <w:divBdr>
        <w:top w:val="none" w:sz="0" w:space="0" w:color="auto"/>
        <w:left w:val="none" w:sz="0" w:space="0" w:color="auto"/>
        <w:bottom w:val="none" w:sz="0" w:space="0" w:color="auto"/>
        <w:right w:val="none" w:sz="0" w:space="0" w:color="auto"/>
      </w:divBdr>
    </w:div>
    <w:div w:id="1232470064">
      <w:bodyDiv w:val="1"/>
      <w:marLeft w:val="0"/>
      <w:marRight w:val="0"/>
      <w:marTop w:val="0"/>
      <w:marBottom w:val="0"/>
      <w:divBdr>
        <w:top w:val="none" w:sz="0" w:space="0" w:color="auto"/>
        <w:left w:val="none" w:sz="0" w:space="0" w:color="auto"/>
        <w:bottom w:val="none" w:sz="0" w:space="0" w:color="auto"/>
        <w:right w:val="none" w:sz="0" w:space="0" w:color="auto"/>
      </w:divBdr>
    </w:div>
    <w:div w:id="1242714099">
      <w:bodyDiv w:val="1"/>
      <w:marLeft w:val="0"/>
      <w:marRight w:val="0"/>
      <w:marTop w:val="0"/>
      <w:marBottom w:val="0"/>
      <w:divBdr>
        <w:top w:val="none" w:sz="0" w:space="0" w:color="auto"/>
        <w:left w:val="none" w:sz="0" w:space="0" w:color="auto"/>
        <w:bottom w:val="none" w:sz="0" w:space="0" w:color="auto"/>
        <w:right w:val="none" w:sz="0" w:space="0" w:color="auto"/>
      </w:divBdr>
    </w:div>
    <w:div w:id="1245334224">
      <w:bodyDiv w:val="1"/>
      <w:marLeft w:val="0"/>
      <w:marRight w:val="0"/>
      <w:marTop w:val="0"/>
      <w:marBottom w:val="0"/>
      <w:divBdr>
        <w:top w:val="none" w:sz="0" w:space="0" w:color="auto"/>
        <w:left w:val="none" w:sz="0" w:space="0" w:color="auto"/>
        <w:bottom w:val="none" w:sz="0" w:space="0" w:color="auto"/>
        <w:right w:val="none" w:sz="0" w:space="0" w:color="auto"/>
      </w:divBdr>
    </w:div>
    <w:div w:id="1249341304">
      <w:bodyDiv w:val="1"/>
      <w:marLeft w:val="0"/>
      <w:marRight w:val="0"/>
      <w:marTop w:val="0"/>
      <w:marBottom w:val="0"/>
      <w:divBdr>
        <w:top w:val="none" w:sz="0" w:space="0" w:color="auto"/>
        <w:left w:val="none" w:sz="0" w:space="0" w:color="auto"/>
        <w:bottom w:val="none" w:sz="0" w:space="0" w:color="auto"/>
        <w:right w:val="none" w:sz="0" w:space="0" w:color="auto"/>
      </w:divBdr>
    </w:div>
    <w:div w:id="1252277753">
      <w:bodyDiv w:val="1"/>
      <w:marLeft w:val="0"/>
      <w:marRight w:val="0"/>
      <w:marTop w:val="0"/>
      <w:marBottom w:val="0"/>
      <w:divBdr>
        <w:top w:val="none" w:sz="0" w:space="0" w:color="auto"/>
        <w:left w:val="none" w:sz="0" w:space="0" w:color="auto"/>
        <w:bottom w:val="none" w:sz="0" w:space="0" w:color="auto"/>
        <w:right w:val="none" w:sz="0" w:space="0" w:color="auto"/>
      </w:divBdr>
    </w:div>
    <w:div w:id="1262420248">
      <w:bodyDiv w:val="1"/>
      <w:marLeft w:val="0"/>
      <w:marRight w:val="0"/>
      <w:marTop w:val="0"/>
      <w:marBottom w:val="0"/>
      <w:divBdr>
        <w:top w:val="none" w:sz="0" w:space="0" w:color="auto"/>
        <w:left w:val="none" w:sz="0" w:space="0" w:color="auto"/>
        <w:bottom w:val="none" w:sz="0" w:space="0" w:color="auto"/>
        <w:right w:val="none" w:sz="0" w:space="0" w:color="auto"/>
      </w:divBdr>
    </w:div>
    <w:div w:id="1271278641">
      <w:bodyDiv w:val="1"/>
      <w:marLeft w:val="0"/>
      <w:marRight w:val="0"/>
      <w:marTop w:val="0"/>
      <w:marBottom w:val="0"/>
      <w:divBdr>
        <w:top w:val="none" w:sz="0" w:space="0" w:color="auto"/>
        <w:left w:val="none" w:sz="0" w:space="0" w:color="auto"/>
        <w:bottom w:val="none" w:sz="0" w:space="0" w:color="auto"/>
        <w:right w:val="none" w:sz="0" w:space="0" w:color="auto"/>
      </w:divBdr>
    </w:div>
    <w:div w:id="1273974641">
      <w:bodyDiv w:val="1"/>
      <w:marLeft w:val="0"/>
      <w:marRight w:val="0"/>
      <w:marTop w:val="0"/>
      <w:marBottom w:val="0"/>
      <w:divBdr>
        <w:top w:val="none" w:sz="0" w:space="0" w:color="auto"/>
        <w:left w:val="none" w:sz="0" w:space="0" w:color="auto"/>
        <w:bottom w:val="none" w:sz="0" w:space="0" w:color="auto"/>
        <w:right w:val="none" w:sz="0" w:space="0" w:color="auto"/>
      </w:divBdr>
    </w:div>
    <w:div w:id="1277062407">
      <w:bodyDiv w:val="1"/>
      <w:marLeft w:val="0"/>
      <w:marRight w:val="0"/>
      <w:marTop w:val="0"/>
      <w:marBottom w:val="0"/>
      <w:divBdr>
        <w:top w:val="none" w:sz="0" w:space="0" w:color="auto"/>
        <w:left w:val="none" w:sz="0" w:space="0" w:color="auto"/>
        <w:bottom w:val="none" w:sz="0" w:space="0" w:color="auto"/>
        <w:right w:val="none" w:sz="0" w:space="0" w:color="auto"/>
      </w:divBdr>
    </w:div>
    <w:div w:id="1310867805">
      <w:bodyDiv w:val="1"/>
      <w:marLeft w:val="0"/>
      <w:marRight w:val="0"/>
      <w:marTop w:val="0"/>
      <w:marBottom w:val="0"/>
      <w:divBdr>
        <w:top w:val="none" w:sz="0" w:space="0" w:color="auto"/>
        <w:left w:val="none" w:sz="0" w:space="0" w:color="auto"/>
        <w:bottom w:val="none" w:sz="0" w:space="0" w:color="auto"/>
        <w:right w:val="none" w:sz="0" w:space="0" w:color="auto"/>
      </w:divBdr>
    </w:div>
    <w:div w:id="1349717175">
      <w:bodyDiv w:val="1"/>
      <w:marLeft w:val="0"/>
      <w:marRight w:val="0"/>
      <w:marTop w:val="0"/>
      <w:marBottom w:val="0"/>
      <w:divBdr>
        <w:top w:val="none" w:sz="0" w:space="0" w:color="auto"/>
        <w:left w:val="none" w:sz="0" w:space="0" w:color="auto"/>
        <w:bottom w:val="none" w:sz="0" w:space="0" w:color="auto"/>
        <w:right w:val="none" w:sz="0" w:space="0" w:color="auto"/>
      </w:divBdr>
    </w:div>
    <w:div w:id="1361853711">
      <w:bodyDiv w:val="1"/>
      <w:marLeft w:val="0"/>
      <w:marRight w:val="0"/>
      <w:marTop w:val="0"/>
      <w:marBottom w:val="0"/>
      <w:divBdr>
        <w:top w:val="none" w:sz="0" w:space="0" w:color="auto"/>
        <w:left w:val="none" w:sz="0" w:space="0" w:color="auto"/>
        <w:bottom w:val="none" w:sz="0" w:space="0" w:color="auto"/>
        <w:right w:val="none" w:sz="0" w:space="0" w:color="auto"/>
      </w:divBdr>
    </w:div>
    <w:div w:id="1362318446">
      <w:bodyDiv w:val="1"/>
      <w:marLeft w:val="0"/>
      <w:marRight w:val="0"/>
      <w:marTop w:val="0"/>
      <w:marBottom w:val="0"/>
      <w:divBdr>
        <w:top w:val="none" w:sz="0" w:space="0" w:color="auto"/>
        <w:left w:val="none" w:sz="0" w:space="0" w:color="auto"/>
        <w:bottom w:val="none" w:sz="0" w:space="0" w:color="auto"/>
        <w:right w:val="none" w:sz="0" w:space="0" w:color="auto"/>
      </w:divBdr>
    </w:div>
    <w:div w:id="1372456167">
      <w:bodyDiv w:val="1"/>
      <w:marLeft w:val="0"/>
      <w:marRight w:val="0"/>
      <w:marTop w:val="0"/>
      <w:marBottom w:val="0"/>
      <w:divBdr>
        <w:top w:val="none" w:sz="0" w:space="0" w:color="auto"/>
        <w:left w:val="none" w:sz="0" w:space="0" w:color="auto"/>
        <w:bottom w:val="none" w:sz="0" w:space="0" w:color="auto"/>
        <w:right w:val="none" w:sz="0" w:space="0" w:color="auto"/>
      </w:divBdr>
    </w:div>
    <w:div w:id="1380129457">
      <w:bodyDiv w:val="1"/>
      <w:marLeft w:val="0"/>
      <w:marRight w:val="0"/>
      <w:marTop w:val="0"/>
      <w:marBottom w:val="0"/>
      <w:divBdr>
        <w:top w:val="none" w:sz="0" w:space="0" w:color="auto"/>
        <w:left w:val="none" w:sz="0" w:space="0" w:color="auto"/>
        <w:bottom w:val="none" w:sz="0" w:space="0" w:color="auto"/>
        <w:right w:val="none" w:sz="0" w:space="0" w:color="auto"/>
      </w:divBdr>
    </w:div>
    <w:div w:id="1392579124">
      <w:bodyDiv w:val="1"/>
      <w:marLeft w:val="0"/>
      <w:marRight w:val="0"/>
      <w:marTop w:val="0"/>
      <w:marBottom w:val="0"/>
      <w:divBdr>
        <w:top w:val="none" w:sz="0" w:space="0" w:color="auto"/>
        <w:left w:val="none" w:sz="0" w:space="0" w:color="auto"/>
        <w:bottom w:val="none" w:sz="0" w:space="0" w:color="auto"/>
        <w:right w:val="none" w:sz="0" w:space="0" w:color="auto"/>
      </w:divBdr>
    </w:div>
    <w:div w:id="1398823985">
      <w:bodyDiv w:val="1"/>
      <w:marLeft w:val="0"/>
      <w:marRight w:val="0"/>
      <w:marTop w:val="0"/>
      <w:marBottom w:val="0"/>
      <w:divBdr>
        <w:top w:val="none" w:sz="0" w:space="0" w:color="auto"/>
        <w:left w:val="none" w:sz="0" w:space="0" w:color="auto"/>
        <w:bottom w:val="none" w:sz="0" w:space="0" w:color="auto"/>
        <w:right w:val="none" w:sz="0" w:space="0" w:color="auto"/>
      </w:divBdr>
    </w:div>
    <w:div w:id="1408460797">
      <w:bodyDiv w:val="1"/>
      <w:marLeft w:val="0"/>
      <w:marRight w:val="0"/>
      <w:marTop w:val="0"/>
      <w:marBottom w:val="0"/>
      <w:divBdr>
        <w:top w:val="none" w:sz="0" w:space="0" w:color="auto"/>
        <w:left w:val="none" w:sz="0" w:space="0" w:color="auto"/>
        <w:bottom w:val="none" w:sz="0" w:space="0" w:color="auto"/>
        <w:right w:val="none" w:sz="0" w:space="0" w:color="auto"/>
      </w:divBdr>
    </w:div>
    <w:div w:id="1413308869">
      <w:bodyDiv w:val="1"/>
      <w:marLeft w:val="0"/>
      <w:marRight w:val="0"/>
      <w:marTop w:val="0"/>
      <w:marBottom w:val="0"/>
      <w:divBdr>
        <w:top w:val="none" w:sz="0" w:space="0" w:color="auto"/>
        <w:left w:val="none" w:sz="0" w:space="0" w:color="auto"/>
        <w:bottom w:val="none" w:sz="0" w:space="0" w:color="auto"/>
        <w:right w:val="none" w:sz="0" w:space="0" w:color="auto"/>
      </w:divBdr>
    </w:div>
    <w:div w:id="1428883563">
      <w:bodyDiv w:val="1"/>
      <w:marLeft w:val="0"/>
      <w:marRight w:val="0"/>
      <w:marTop w:val="0"/>
      <w:marBottom w:val="0"/>
      <w:divBdr>
        <w:top w:val="none" w:sz="0" w:space="0" w:color="auto"/>
        <w:left w:val="none" w:sz="0" w:space="0" w:color="auto"/>
        <w:bottom w:val="none" w:sz="0" w:space="0" w:color="auto"/>
        <w:right w:val="none" w:sz="0" w:space="0" w:color="auto"/>
      </w:divBdr>
    </w:div>
    <w:div w:id="1429231278">
      <w:bodyDiv w:val="1"/>
      <w:marLeft w:val="0"/>
      <w:marRight w:val="0"/>
      <w:marTop w:val="0"/>
      <w:marBottom w:val="0"/>
      <w:divBdr>
        <w:top w:val="none" w:sz="0" w:space="0" w:color="auto"/>
        <w:left w:val="none" w:sz="0" w:space="0" w:color="auto"/>
        <w:bottom w:val="none" w:sz="0" w:space="0" w:color="auto"/>
        <w:right w:val="none" w:sz="0" w:space="0" w:color="auto"/>
      </w:divBdr>
    </w:div>
    <w:div w:id="1429546691">
      <w:bodyDiv w:val="1"/>
      <w:marLeft w:val="0"/>
      <w:marRight w:val="0"/>
      <w:marTop w:val="0"/>
      <w:marBottom w:val="0"/>
      <w:divBdr>
        <w:top w:val="none" w:sz="0" w:space="0" w:color="auto"/>
        <w:left w:val="none" w:sz="0" w:space="0" w:color="auto"/>
        <w:bottom w:val="none" w:sz="0" w:space="0" w:color="auto"/>
        <w:right w:val="none" w:sz="0" w:space="0" w:color="auto"/>
      </w:divBdr>
    </w:div>
    <w:div w:id="1440487082">
      <w:bodyDiv w:val="1"/>
      <w:marLeft w:val="0"/>
      <w:marRight w:val="0"/>
      <w:marTop w:val="0"/>
      <w:marBottom w:val="0"/>
      <w:divBdr>
        <w:top w:val="none" w:sz="0" w:space="0" w:color="auto"/>
        <w:left w:val="none" w:sz="0" w:space="0" w:color="auto"/>
        <w:bottom w:val="none" w:sz="0" w:space="0" w:color="auto"/>
        <w:right w:val="none" w:sz="0" w:space="0" w:color="auto"/>
      </w:divBdr>
    </w:div>
    <w:div w:id="1457063709">
      <w:bodyDiv w:val="1"/>
      <w:marLeft w:val="0"/>
      <w:marRight w:val="0"/>
      <w:marTop w:val="0"/>
      <w:marBottom w:val="0"/>
      <w:divBdr>
        <w:top w:val="none" w:sz="0" w:space="0" w:color="auto"/>
        <w:left w:val="none" w:sz="0" w:space="0" w:color="auto"/>
        <w:bottom w:val="none" w:sz="0" w:space="0" w:color="auto"/>
        <w:right w:val="none" w:sz="0" w:space="0" w:color="auto"/>
      </w:divBdr>
    </w:div>
    <w:div w:id="1460957034">
      <w:bodyDiv w:val="1"/>
      <w:marLeft w:val="0"/>
      <w:marRight w:val="0"/>
      <w:marTop w:val="0"/>
      <w:marBottom w:val="0"/>
      <w:divBdr>
        <w:top w:val="none" w:sz="0" w:space="0" w:color="auto"/>
        <w:left w:val="none" w:sz="0" w:space="0" w:color="auto"/>
        <w:bottom w:val="none" w:sz="0" w:space="0" w:color="auto"/>
        <w:right w:val="none" w:sz="0" w:space="0" w:color="auto"/>
      </w:divBdr>
    </w:div>
    <w:div w:id="1471749237">
      <w:bodyDiv w:val="1"/>
      <w:marLeft w:val="0"/>
      <w:marRight w:val="0"/>
      <w:marTop w:val="0"/>
      <w:marBottom w:val="0"/>
      <w:divBdr>
        <w:top w:val="none" w:sz="0" w:space="0" w:color="auto"/>
        <w:left w:val="none" w:sz="0" w:space="0" w:color="auto"/>
        <w:bottom w:val="none" w:sz="0" w:space="0" w:color="auto"/>
        <w:right w:val="none" w:sz="0" w:space="0" w:color="auto"/>
      </w:divBdr>
    </w:div>
    <w:div w:id="1500924351">
      <w:bodyDiv w:val="1"/>
      <w:marLeft w:val="0"/>
      <w:marRight w:val="0"/>
      <w:marTop w:val="0"/>
      <w:marBottom w:val="0"/>
      <w:divBdr>
        <w:top w:val="none" w:sz="0" w:space="0" w:color="auto"/>
        <w:left w:val="none" w:sz="0" w:space="0" w:color="auto"/>
        <w:bottom w:val="none" w:sz="0" w:space="0" w:color="auto"/>
        <w:right w:val="none" w:sz="0" w:space="0" w:color="auto"/>
      </w:divBdr>
    </w:div>
    <w:div w:id="1510752997">
      <w:bodyDiv w:val="1"/>
      <w:marLeft w:val="0"/>
      <w:marRight w:val="0"/>
      <w:marTop w:val="0"/>
      <w:marBottom w:val="0"/>
      <w:divBdr>
        <w:top w:val="none" w:sz="0" w:space="0" w:color="auto"/>
        <w:left w:val="none" w:sz="0" w:space="0" w:color="auto"/>
        <w:bottom w:val="none" w:sz="0" w:space="0" w:color="auto"/>
        <w:right w:val="none" w:sz="0" w:space="0" w:color="auto"/>
      </w:divBdr>
      <w:divsChild>
        <w:div w:id="2147090578">
          <w:marLeft w:val="0"/>
          <w:marRight w:val="0"/>
          <w:marTop w:val="0"/>
          <w:marBottom w:val="0"/>
          <w:divBdr>
            <w:top w:val="none" w:sz="0" w:space="0" w:color="auto"/>
            <w:left w:val="none" w:sz="0" w:space="0" w:color="auto"/>
            <w:bottom w:val="none" w:sz="0" w:space="0" w:color="auto"/>
            <w:right w:val="none" w:sz="0" w:space="0" w:color="auto"/>
          </w:divBdr>
        </w:div>
      </w:divsChild>
    </w:div>
    <w:div w:id="1518041898">
      <w:bodyDiv w:val="1"/>
      <w:marLeft w:val="0"/>
      <w:marRight w:val="0"/>
      <w:marTop w:val="0"/>
      <w:marBottom w:val="0"/>
      <w:divBdr>
        <w:top w:val="none" w:sz="0" w:space="0" w:color="auto"/>
        <w:left w:val="none" w:sz="0" w:space="0" w:color="auto"/>
        <w:bottom w:val="none" w:sz="0" w:space="0" w:color="auto"/>
        <w:right w:val="none" w:sz="0" w:space="0" w:color="auto"/>
      </w:divBdr>
    </w:div>
    <w:div w:id="1524898230">
      <w:bodyDiv w:val="1"/>
      <w:marLeft w:val="0"/>
      <w:marRight w:val="0"/>
      <w:marTop w:val="0"/>
      <w:marBottom w:val="0"/>
      <w:divBdr>
        <w:top w:val="none" w:sz="0" w:space="0" w:color="auto"/>
        <w:left w:val="none" w:sz="0" w:space="0" w:color="auto"/>
        <w:bottom w:val="none" w:sz="0" w:space="0" w:color="auto"/>
        <w:right w:val="none" w:sz="0" w:space="0" w:color="auto"/>
      </w:divBdr>
    </w:div>
    <w:div w:id="1526558046">
      <w:bodyDiv w:val="1"/>
      <w:marLeft w:val="0"/>
      <w:marRight w:val="0"/>
      <w:marTop w:val="0"/>
      <w:marBottom w:val="0"/>
      <w:divBdr>
        <w:top w:val="none" w:sz="0" w:space="0" w:color="auto"/>
        <w:left w:val="none" w:sz="0" w:space="0" w:color="auto"/>
        <w:bottom w:val="none" w:sz="0" w:space="0" w:color="auto"/>
        <w:right w:val="none" w:sz="0" w:space="0" w:color="auto"/>
      </w:divBdr>
    </w:div>
    <w:div w:id="1536428760">
      <w:bodyDiv w:val="1"/>
      <w:marLeft w:val="0"/>
      <w:marRight w:val="0"/>
      <w:marTop w:val="0"/>
      <w:marBottom w:val="0"/>
      <w:divBdr>
        <w:top w:val="none" w:sz="0" w:space="0" w:color="auto"/>
        <w:left w:val="none" w:sz="0" w:space="0" w:color="auto"/>
        <w:bottom w:val="none" w:sz="0" w:space="0" w:color="auto"/>
        <w:right w:val="none" w:sz="0" w:space="0" w:color="auto"/>
      </w:divBdr>
    </w:div>
    <w:div w:id="1538661696">
      <w:bodyDiv w:val="1"/>
      <w:marLeft w:val="0"/>
      <w:marRight w:val="0"/>
      <w:marTop w:val="0"/>
      <w:marBottom w:val="0"/>
      <w:divBdr>
        <w:top w:val="none" w:sz="0" w:space="0" w:color="auto"/>
        <w:left w:val="none" w:sz="0" w:space="0" w:color="auto"/>
        <w:bottom w:val="none" w:sz="0" w:space="0" w:color="auto"/>
        <w:right w:val="none" w:sz="0" w:space="0" w:color="auto"/>
      </w:divBdr>
    </w:div>
    <w:div w:id="1542744286">
      <w:bodyDiv w:val="1"/>
      <w:marLeft w:val="0"/>
      <w:marRight w:val="0"/>
      <w:marTop w:val="0"/>
      <w:marBottom w:val="0"/>
      <w:divBdr>
        <w:top w:val="none" w:sz="0" w:space="0" w:color="auto"/>
        <w:left w:val="none" w:sz="0" w:space="0" w:color="auto"/>
        <w:bottom w:val="none" w:sz="0" w:space="0" w:color="auto"/>
        <w:right w:val="none" w:sz="0" w:space="0" w:color="auto"/>
      </w:divBdr>
      <w:divsChild>
        <w:div w:id="1147087267">
          <w:marLeft w:val="0"/>
          <w:marRight w:val="0"/>
          <w:marTop w:val="0"/>
          <w:marBottom w:val="0"/>
          <w:divBdr>
            <w:top w:val="none" w:sz="0" w:space="0" w:color="auto"/>
            <w:left w:val="none" w:sz="0" w:space="0" w:color="auto"/>
            <w:bottom w:val="none" w:sz="0" w:space="0" w:color="auto"/>
            <w:right w:val="none" w:sz="0" w:space="0" w:color="auto"/>
          </w:divBdr>
        </w:div>
      </w:divsChild>
    </w:div>
    <w:div w:id="1545091938">
      <w:bodyDiv w:val="1"/>
      <w:marLeft w:val="0"/>
      <w:marRight w:val="0"/>
      <w:marTop w:val="0"/>
      <w:marBottom w:val="0"/>
      <w:divBdr>
        <w:top w:val="none" w:sz="0" w:space="0" w:color="auto"/>
        <w:left w:val="none" w:sz="0" w:space="0" w:color="auto"/>
        <w:bottom w:val="none" w:sz="0" w:space="0" w:color="auto"/>
        <w:right w:val="none" w:sz="0" w:space="0" w:color="auto"/>
      </w:divBdr>
    </w:div>
    <w:div w:id="1564410030">
      <w:bodyDiv w:val="1"/>
      <w:marLeft w:val="0"/>
      <w:marRight w:val="0"/>
      <w:marTop w:val="0"/>
      <w:marBottom w:val="0"/>
      <w:divBdr>
        <w:top w:val="none" w:sz="0" w:space="0" w:color="auto"/>
        <w:left w:val="none" w:sz="0" w:space="0" w:color="auto"/>
        <w:bottom w:val="none" w:sz="0" w:space="0" w:color="auto"/>
        <w:right w:val="none" w:sz="0" w:space="0" w:color="auto"/>
      </w:divBdr>
    </w:div>
    <w:div w:id="1581525616">
      <w:bodyDiv w:val="1"/>
      <w:marLeft w:val="0"/>
      <w:marRight w:val="0"/>
      <w:marTop w:val="0"/>
      <w:marBottom w:val="0"/>
      <w:divBdr>
        <w:top w:val="none" w:sz="0" w:space="0" w:color="auto"/>
        <w:left w:val="none" w:sz="0" w:space="0" w:color="auto"/>
        <w:bottom w:val="none" w:sz="0" w:space="0" w:color="auto"/>
        <w:right w:val="none" w:sz="0" w:space="0" w:color="auto"/>
      </w:divBdr>
    </w:div>
    <w:div w:id="1594125450">
      <w:bodyDiv w:val="1"/>
      <w:marLeft w:val="0"/>
      <w:marRight w:val="0"/>
      <w:marTop w:val="0"/>
      <w:marBottom w:val="0"/>
      <w:divBdr>
        <w:top w:val="none" w:sz="0" w:space="0" w:color="auto"/>
        <w:left w:val="none" w:sz="0" w:space="0" w:color="auto"/>
        <w:bottom w:val="none" w:sz="0" w:space="0" w:color="auto"/>
        <w:right w:val="none" w:sz="0" w:space="0" w:color="auto"/>
      </w:divBdr>
    </w:div>
    <w:div w:id="1594822304">
      <w:bodyDiv w:val="1"/>
      <w:marLeft w:val="0"/>
      <w:marRight w:val="0"/>
      <w:marTop w:val="0"/>
      <w:marBottom w:val="0"/>
      <w:divBdr>
        <w:top w:val="none" w:sz="0" w:space="0" w:color="auto"/>
        <w:left w:val="none" w:sz="0" w:space="0" w:color="auto"/>
        <w:bottom w:val="none" w:sz="0" w:space="0" w:color="auto"/>
        <w:right w:val="none" w:sz="0" w:space="0" w:color="auto"/>
      </w:divBdr>
    </w:div>
    <w:div w:id="1595624267">
      <w:bodyDiv w:val="1"/>
      <w:marLeft w:val="0"/>
      <w:marRight w:val="0"/>
      <w:marTop w:val="0"/>
      <w:marBottom w:val="0"/>
      <w:divBdr>
        <w:top w:val="none" w:sz="0" w:space="0" w:color="auto"/>
        <w:left w:val="none" w:sz="0" w:space="0" w:color="auto"/>
        <w:bottom w:val="none" w:sz="0" w:space="0" w:color="auto"/>
        <w:right w:val="none" w:sz="0" w:space="0" w:color="auto"/>
      </w:divBdr>
    </w:div>
    <w:div w:id="1598055273">
      <w:bodyDiv w:val="1"/>
      <w:marLeft w:val="0"/>
      <w:marRight w:val="0"/>
      <w:marTop w:val="0"/>
      <w:marBottom w:val="0"/>
      <w:divBdr>
        <w:top w:val="none" w:sz="0" w:space="0" w:color="auto"/>
        <w:left w:val="none" w:sz="0" w:space="0" w:color="auto"/>
        <w:bottom w:val="none" w:sz="0" w:space="0" w:color="auto"/>
        <w:right w:val="none" w:sz="0" w:space="0" w:color="auto"/>
      </w:divBdr>
    </w:div>
    <w:div w:id="1598247624">
      <w:bodyDiv w:val="1"/>
      <w:marLeft w:val="0"/>
      <w:marRight w:val="0"/>
      <w:marTop w:val="0"/>
      <w:marBottom w:val="0"/>
      <w:divBdr>
        <w:top w:val="none" w:sz="0" w:space="0" w:color="auto"/>
        <w:left w:val="none" w:sz="0" w:space="0" w:color="auto"/>
        <w:bottom w:val="none" w:sz="0" w:space="0" w:color="auto"/>
        <w:right w:val="none" w:sz="0" w:space="0" w:color="auto"/>
      </w:divBdr>
    </w:div>
    <w:div w:id="1610620341">
      <w:bodyDiv w:val="1"/>
      <w:marLeft w:val="0"/>
      <w:marRight w:val="0"/>
      <w:marTop w:val="0"/>
      <w:marBottom w:val="0"/>
      <w:divBdr>
        <w:top w:val="none" w:sz="0" w:space="0" w:color="auto"/>
        <w:left w:val="none" w:sz="0" w:space="0" w:color="auto"/>
        <w:bottom w:val="none" w:sz="0" w:space="0" w:color="auto"/>
        <w:right w:val="none" w:sz="0" w:space="0" w:color="auto"/>
      </w:divBdr>
    </w:div>
    <w:div w:id="1628927255">
      <w:bodyDiv w:val="1"/>
      <w:marLeft w:val="0"/>
      <w:marRight w:val="0"/>
      <w:marTop w:val="0"/>
      <w:marBottom w:val="0"/>
      <w:divBdr>
        <w:top w:val="none" w:sz="0" w:space="0" w:color="auto"/>
        <w:left w:val="none" w:sz="0" w:space="0" w:color="auto"/>
        <w:bottom w:val="none" w:sz="0" w:space="0" w:color="auto"/>
        <w:right w:val="none" w:sz="0" w:space="0" w:color="auto"/>
      </w:divBdr>
    </w:div>
    <w:div w:id="1629386391">
      <w:bodyDiv w:val="1"/>
      <w:marLeft w:val="0"/>
      <w:marRight w:val="0"/>
      <w:marTop w:val="0"/>
      <w:marBottom w:val="0"/>
      <w:divBdr>
        <w:top w:val="none" w:sz="0" w:space="0" w:color="auto"/>
        <w:left w:val="none" w:sz="0" w:space="0" w:color="auto"/>
        <w:bottom w:val="none" w:sz="0" w:space="0" w:color="auto"/>
        <w:right w:val="none" w:sz="0" w:space="0" w:color="auto"/>
      </w:divBdr>
    </w:div>
    <w:div w:id="1638486135">
      <w:bodyDiv w:val="1"/>
      <w:marLeft w:val="0"/>
      <w:marRight w:val="0"/>
      <w:marTop w:val="0"/>
      <w:marBottom w:val="0"/>
      <w:divBdr>
        <w:top w:val="none" w:sz="0" w:space="0" w:color="auto"/>
        <w:left w:val="none" w:sz="0" w:space="0" w:color="auto"/>
        <w:bottom w:val="none" w:sz="0" w:space="0" w:color="auto"/>
        <w:right w:val="none" w:sz="0" w:space="0" w:color="auto"/>
      </w:divBdr>
    </w:div>
    <w:div w:id="1661425620">
      <w:bodyDiv w:val="1"/>
      <w:marLeft w:val="0"/>
      <w:marRight w:val="0"/>
      <w:marTop w:val="0"/>
      <w:marBottom w:val="0"/>
      <w:divBdr>
        <w:top w:val="none" w:sz="0" w:space="0" w:color="auto"/>
        <w:left w:val="none" w:sz="0" w:space="0" w:color="auto"/>
        <w:bottom w:val="none" w:sz="0" w:space="0" w:color="auto"/>
        <w:right w:val="none" w:sz="0" w:space="0" w:color="auto"/>
      </w:divBdr>
    </w:div>
    <w:div w:id="1703631439">
      <w:bodyDiv w:val="1"/>
      <w:marLeft w:val="0"/>
      <w:marRight w:val="0"/>
      <w:marTop w:val="0"/>
      <w:marBottom w:val="0"/>
      <w:divBdr>
        <w:top w:val="none" w:sz="0" w:space="0" w:color="auto"/>
        <w:left w:val="none" w:sz="0" w:space="0" w:color="auto"/>
        <w:bottom w:val="none" w:sz="0" w:space="0" w:color="auto"/>
        <w:right w:val="none" w:sz="0" w:space="0" w:color="auto"/>
      </w:divBdr>
    </w:div>
    <w:div w:id="1706103540">
      <w:bodyDiv w:val="1"/>
      <w:marLeft w:val="0"/>
      <w:marRight w:val="0"/>
      <w:marTop w:val="0"/>
      <w:marBottom w:val="0"/>
      <w:divBdr>
        <w:top w:val="none" w:sz="0" w:space="0" w:color="auto"/>
        <w:left w:val="none" w:sz="0" w:space="0" w:color="auto"/>
        <w:bottom w:val="none" w:sz="0" w:space="0" w:color="auto"/>
        <w:right w:val="none" w:sz="0" w:space="0" w:color="auto"/>
      </w:divBdr>
    </w:div>
    <w:div w:id="1707214390">
      <w:bodyDiv w:val="1"/>
      <w:marLeft w:val="0"/>
      <w:marRight w:val="0"/>
      <w:marTop w:val="0"/>
      <w:marBottom w:val="0"/>
      <w:divBdr>
        <w:top w:val="none" w:sz="0" w:space="0" w:color="auto"/>
        <w:left w:val="none" w:sz="0" w:space="0" w:color="auto"/>
        <w:bottom w:val="none" w:sz="0" w:space="0" w:color="auto"/>
        <w:right w:val="none" w:sz="0" w:space="0" w:color="auto"/>
      </w:divBdr>
    </w:div>
    <w:div w:id="1707631454">
      <w:bodyDiv w:val="1"/>
      <w:marLeft w:val="0"/>
      <w:marRight w:val="0"/>
      <w:marTop w:val="0"/>
      <w:marBottom w:val="0"/>
      <w:divBdr>
        <w:top w:val="none" w:sz="0" w:space="0" w:color="auto"/>
        <w:left w:val="none" w:sz="0" w:space="0" w:color="auto"/>
        <w:bottom w:val="none" w:sz="0" w:space="0" w:color="auto"/>
        <w:right w:val="none" w:sz="0" w:space="0" w:color="auto"/>
      </w:divBdr>
    </w:div>
    <w:div w:id="1732270476">
      <w:bodyDiv w:val="1"/>
      <w:marLeft w:val="0"/>
      <w:marRight w:val="0"/>
      <w:marTop w:val="0"/>
      <w:marBottom w:val="0"/>
      <w:divBdr>
        <w:top w:val="none" w:sz="0" w:space="0" w:color="auto"/>
        <w:left w:val="none" w:sz="0" w:space="0" w:color="auto"/>
        <w:bottom w:val="none" w:sz="0" w:space="0" w:color="auto"/>
        <w:right w:val="none" w:sz="0" w:space="0" w:color="auto"/>
      </w:divBdr>
    </w:div>
    <w:div w:id="1735007357">
      <w:bodyDiv w:val="1"/>
      <w:marLeft w:val="0"/>
      <w:marRight w:val="0"/>
      <w:marTop w:val="0"/>
      <w:marBottom w:val="0"/>
      <w:divBdr>
        <w:top w:val="none" w:sz="0" w:space="0" w:color="auto"/>
        <w:left w:val="none" w:sz="0" w:space="0" w:color="auto"/>
        <w:bottom w:val="none" w:sz="0" w:space="0" w:color="auto"/>
        <w:right w:val="none" w:sz="0" w:space="0" w:color="auto"/>
      </w:divBdr>
    </w:div>
    <w:div w:id="1740248304">
      <w:bodyDiv w:val="1"/>
      <w:marLeft w:val="0"/>
      <w:marRight w:val="0"/>
      <w:marTop w:val="0"/>
      <w:marBottom w:val="0"/>
      <w:divBdr>
        <w:top w:val="none" w:sz="0" w:space="0" w:color="auto"/>
        <w:left w:val="none" w:sz="0" w:space="0" w:color="auto"/>
        <w:bottom w:val="none" w:sz="0" w:space="0" w:color="auto"/>
        <w:right w:val="none" w:sz="0" w:space="0" w:color="auto"/>
      </w:divBdr>
    </w:div>
    <w:div w:id="1740593834">
      <w:bodyDiv w:val="1"/>
      <w:marLeft w:val="0"/>
      <w:marRight w:val="0"/>
      <w:marTop w:val="0"/>
      <w:marBottom w:val="0"/>
      <w:divBdr>
        <w:top w:val="none" w:sz="0" w:space="0" w:color="auto"/>
        <w:left w:val="none" w:sz="0" w:space="0" w:color="auto"/>
        <w:bottom w:val="none" w:sz="0" w:space="0" w:color="auto"/>
        <w:right w:val="none" w:sz="0" w:space="0" w:color="auto"/>
      </w:divBdr>
    </w:div>
    <w:div w:id="1749811931">
      <w:bodyDiv w:val="1"/>
      <w:marLeft w:val="0"/>
      <w:marRight w:val="0"/>
      <w:marTop w:val="0"/>
      <w:marBottom w:val="0"/>
      <w:divBdr>
        <w:top w:val="none" w:sz="0" w:space="0" w:color="auto"/>
        <w:left w:val="none" w:sz="0" w:space="0" w:color="auto"/>
        <w:bottom w:val="none" w:sz="0" w:space="0" w:color="auto"/>
        <w:right w:val="none" w:sz="0" w:space="0" w:color="auto"/>
      </w:divBdr>
    </w:div>
    <w:div w:id="1773621916">
      <w:bodyDiv w:val="1"/>
      <w:marLeft w:val="0"/>
      <w:marRight w:val="0"/>
      <w:marTop w:val="0"/>
      <w:marBottom w:val="0"/>
      <w:divBdr>
        <w:top w:val="none" w:sz="0" w:space="0" w:color="auto"/>
        <w:left w:val="none" w:sz="0" w:space="0" w:color="auto"/>
        <w:bottom w:val="none" w:sz="0" w:space="0" w:color="auto"/>
        <w:right w:val="none" w:sz="0" w:space="0" w:color="auto"/>
      </w:divBdr>
    </w:div>
    <w:div w:id="1775124438">
      <w:bodyDiv w:val="1"/>
      <w:marLeft w:val="0"/>
      <w:marRight w:val="0"/>
      <w:marTop w:val="0"/>
      <w:marBottom w:val="0"/>
      <w:divBdr>
        <w:top w:val="none" w:sz="0" w:space="0" w:color="auto"/>
        <w:left w:val="none" w:sz="0" w:space="0" w:color="auto"/>
        <w:bottom w:val="none" w:sz="0" w:space="0" w:color="auto"/>
        <w:right w:val="none" w:sz="0" w:space="0" w:color="auto"/>
      </w:divBdr>
    </w:div>
    <w:div w:id="1778913460">
      <w:bodyDiv w:val="1"/>
      <w:marLeft w:val="0"/>
      <w:marRight w:val="0"/>
      <w:marTop w:val="0"/>
      <w:marBottom w:val="0"/>
      <w:divBdr>
        <w:top w:val="none" w:sz="0" w:space="0" w:color="auto"/>
        <w:left w:val="none" w:sz="0" w:space="0" w:color="auto"/>
        <w:bottom w:val="none" w:sz="0" w:space="0" w:color="auto"/>
        <w:right w:val="none" w:sz="0" w:space="0" w:color="auto"/>
      </w:divBdr>
    </w:div>
    <w:div w:id="1783257128">
      <w:bodyDiv w:val="1"/>
      <w:marLeft w:val="0"/>
      <w:marRight w:val="0"/>
      <w:marTop w:val="0"/>
      <w:marBottom w:val="0"/>
      <w:divBdr>
        <w:top w:val="none" w:sz="0" w:space="0" w:color="auto"/>
        <w:left w:val="none" w:sz="0" w:space="0" w:color="auto"/>
        <w:bottom w:val="none" w:sz="0" w:space="0" w:color="auto"/>
        <w:right w:val="none" w:sz="0" w:space="0" w:color="auto"/>
      </w:divBdr>
    </w:div>
    <w:div w:id="1788885416">
      <w:bodyDiv w:val="1"/>
      <w:marLeft w:val="0"/>
      <w:marRight w:val="0"/>
      <w:marTop w:val="0"/>
      <w:marBottom w:val="0"/>
      <w:divBdr>
        <w:top w:val="none" w:sz="0" w:space="0" w:color="auto"/>
        <w:left w:val="none" w:sz="0" w:space="0" w:color="auto"/>
        <w:bottom w:val="none" w:sz="0" w:space="0" w:color="auto"/>
        <w:right w:val="none" w:sz="0" w:space="0" w:color="auto"/>
      </w:divBdr>
    </w:div>
    <w:div w:id="1812551487">
      <w:bodyDiv w:val="1"/>
      <w:marLeft w:val="0"/>
      <w:marRight w:val="0"/>
      <w:marTop w:val="0"/>
      <w:marBottom w:val="0"/>
      <w:divBdr>
        <w:top w:val="none" w:sz="0" w:space="0" w:color="auto"/>
        <w:left w:val="none" w:sz="0" w:space="0" w:color="auto"/>
        <w:bottom w:val="none" w:sz="0" w:space="0" w:color="auto"/>
        <w:right w:val="none" w:sz="0" w:space="0" w:color="auto"/>
      </w:divBdr>
    </w:div>
    <w:div w:id="1812626421">
      <w:bodyDiv w:val="1"/>
      <w:marLeft w:val="0"/>
      <w:marRight w:val="0"/>
      <w:marTop w:val="0"/>
      <w:marBottom w:val="0"/>
      <w:divBdr>
        <w:top w:val="none" w:sz="0" w:space="0" w:color="auto"/>
        <w:left w:val="none" w:sz="0" w:space="0" w:color="auto"/>
        <w:bottom w:val="none" w:sz="0" w:space="0" w:color="auto"/>
        <w:right w:val="none" w:sz="0" w:space="0" w:color="auto"/>
      </w:divBdr>
    </w:div>
    <w:div w:id="1820808092">
      <w:bodyDiv w:val="1"/>
      <w:marLeft w:val="0"/>
      <w:marRight w:val="0"/>
      <w:marTop w:val="0"/>
      <w:marBottom w:val="0"/>
      <w:divBdr>
        <w:top w:val="none" w:sz="0" w:space="0" w:color="auto"/>
        <w:left w:val="none" w:sz="0" w:space="0" w:color="auto"/>
        <w:bottom w:val="none" w:sz="0" w:space="0" w:color="auto"/>
        <w:right w:val="none" w:sz="0" w:space="0" w:color="auto"/>
      </w:divBdr>
    </w:div>
    <w:div w:id="1820921774">
      <w:bodyDiv w:val="1"/>
      <w:marLeft w:val="0"/>
      <w:marRight w:val="0"/>
      <w:marTop w:val="0"/>
      <w:marBottom w:val="0"/>
      <w:divBdr>
        <w:top w:val="none" w:sz="0" w:space="0" w:color="auto"/>
        <w:left w:val="none" w:sz="0" w:space="0" w:color="auto"/>
        <w:bottom w:val="none" w:sz="0" w:space="0" w:color="auto"/>
        <w:right w:val="none" w:sz="0" w:space="0" w:color="auto"/>
      </w:divBdr>
    </w:div>
    <w:div w:id="1828209155">
      <w:bodyDiv w:val="1"/>
      <w:marLeft w:val="0"/>
      <w:marRight w:val="0"/>
      <w:marTop w:val="0"/>
      <w:marBottom w:val="0"/>
      <w:divBdr>
        <w:top w:val="none" w:sz="0" w:space="0" w:color="auto"/>
        <w:left w:val="none" w:sz="0" w:space="0" w:color="auto"/>
        <w:bottom w:val="none" w:sz="0" w:space="0" w:color="auto"/>
        <w:right w:val="none" w:sz="0" w:space="0" w:color="auto"/>
      </w:divBdr>
    </w:div>
    <w:div w:id="1837500043">
      <w:bodyDiv w:val="1"/>
      <w:marLeft w:val="0"/>
      <w:marRight w:val="0"/>
      <w:marTop w:val="0"/>
      <w:marBottom w:val="0"/>
      <w:divBdr>
        <w:top w:val="none" w:sz="0" w:space="0" w:color="auto"/>
        <w:left w:val="none" w:sz="0" w:space="0" w:color="auto"/>
        <w:bottom w:val="none" w:sz="0" w:space="0" w:color="auto"/>
        <w:right w:val="none" w:sz="0" w:space="0" w:color="auto"/>
      </w:divBdr>
    </w:div>
    <w:div w:id="1846089160">
      <w:bodyDiv w:val="1"/>
      <w:marLeft w:val="0"/>
      <w:marRight w:val="0"/>
      <w:marTop w:val="0"/>
      <w:marBottom w:val="0"/>
      <w:divBdr>
        <w:top w:val="none" w:sz="0" w:space="0" w:color="auto"/>
        <w:left w:val="none" w:sz="0" w:space="0" w:color="auto"/>
        <w:bottom w:val="none" w:sz="0" w:space="0" w:color="auto"/>
        <w:right w:val="none" w:sz="0" w:space="0" w:color="auto"/>
      </w:divBdr>
    </w:div>
    <w:div w:id="1849103950">
      <w:bodyDiv w:val="1"/>
      <w:marLeft w:val="0"/>
      <w:marRight w:val="0"/>
      <w:marTop w:val="0"/>
      <w:marBottom w:val="0"/>
      <w:divBdr>
        <w:top w:val="none" w:sz="0" w:space="0" w:color="auto"/>
        <w:left w:val="none" w:sz="0" w:space="0" w:color="auto"/>
        <w:bottom w:val="none" w:sz="0" w:space="0" w:color="auto"/>
        <w:right w:val="none" w:sz="0" w:space="0" w:color="auto"/>
      </w:divBdr>
    </w:div>
    <w:div w:id="1871338483">
      <w:bodyDiv w:val="1"/>
      <w:marLeft w:val="0"/>
      <w:marRight w:val="0"/>
      <w:marTop w:val="0"/>
      <w:marBottom w:val="0"/>
      <w:divBdr>
        <w:top w:val="none" w:sz="0" w:space="0" w:color="auto"/>
        <w:left w:val="none" w:sz="0" w:space="0" w:color="auto"/>
        <w:bottom w:val="none" w:sz="0" w:space="0" w:color="auto"/>
        <w:right w:val="none" w:sz="0" w:space="0" w:color="auto"/>
      </w:divBdr>
    </w:div>
    <w:div w:id="1912155195">
      <w:bodyDiv w:val="1"/>
      <w:marLeft w:val="0"/>
      <w:marRight w:val="0"/>
      <w:marTop w:val="0"/>
      <w:marBottom w:val="0"/>
      <w:divBdr>
        <w:top w:val="none" w:sz="0" w:space="0" w:color="auto"/>
        <w:left w:val="none" w:sz="0" w:space="0" w:color="auto"/>
        <w:bottom w:val="none" w:sz="0" w:space="0" w:color="auto"/>
        <w:right w:val="none" w:sz="0" w:space="0" w:color="auto"/>
      </w:divBdr>
    </w:div>
    <w:div w:id="1936864832">
      <w:bodyDiv w:val="1"/>
      <w:marLeft w:val="0"/>
      <w:marRight w:val="0"/>
      <w:marTop w:val="0"/>
      <w:marBottom w:val="0"/>
      <w:divBdr>
        <w:top w:val="none" w:sz="0" w:space="0" w:color="auto"/>
        <w:left w:val="none" w:sz="0" w:space="0" w:color="auto"/>
        <w:bottom w:val="none" w:sz="0" w:space="0" w:color="auto"/>
        <w:right w:val="none" w:sz="0" w:space="0" w:color="auto"/>
      </w:divBdr>
    </w:div>
    <w:div w:id="1941064575">
      <w:bodyDiv w:val="1"/>
      <w:marLeft w:val="0"/>
      <w:marRight w:val="0"/>
      <w:marTop w:val="0"/>
      <w:marBottom w:val="0"/>
      <w:divBdr>
        <w:top w:val="none" w:sz="0" w:space="0" w:color="auto"/>
        <w:left w:val="none" w:sz="0" w:space="0" w:color="auto"/>
        <w:bottom w:val="none" w:sz="0" w:space="0" w:color="auto"/>
        <w:right w:val="none" w:sz="0" w:space="0" w:color="auto"/>
      </w:divBdr>
    </w:div>
    <w:div w:id="1947106984">
      <w:bodyDiv w:val="1"/>
      <w:marLeft w:val="0"/>
      <w:marRight w:val="0"/>
      <w:marTop w:val="0"/>
      <w:marBottom w:val="0"/>
      <w:divBdr>
        <w:top w:val="none" w:sz="0" w:space="0" w:color="auto"/>
        <w:left w:val="none" w:sz="0" w:space="0" w:color="auto"/>
        <w:bottom w:val="none" w:sz="0" w:space="0" w:color="auto"/>
        <w:right w:val="none" w:sz="0" w:space="0" w:color="auto"/>
      </w:divBdr>
    </w:div>
    <w:div w:id="1951471462">
      <w:bodyDiv w:val="1"/>
      <w:marLeft w:val="0"/>
      <w:marRight w:val="0"/>
      <w:marTop w:val="0"/>
      <w:marBottom w:val="0"/>
      <w:divBdr>
        <w:top w:val="none" w:sz="0" w:space="0" w:color="auto"/>
        <w:left w:val="none" w:sz="0" w:space="0" w:color="auto"/>
        <w:bottom w:val="none" w:sz="0" w:space="0" w:color="auto"/>
        <w:right w:val="none" w:sz="0" w:space="0" w:color="auto"/>
      </w:divBdr>
    </w:div>
    <w:div w:id="1984658847">
      <w:bodyDiv w:val="1"/>
      <w:marLeft w:val="0"/>
      <w:marRight w:val="0"/>
      <w:marTop w:val="0"/>
      <w:marBottom w:val="0"/>
      <w:divBdr>
        <w:top w:val="none" w:sz="0" w:space="0" w:color="auto"/>
        <w:left w:val="none" w:sz="0" w:space="0" w:color="auto"/>
        <w:bottom w:val="none" w:sz="0" w:space="0" w:color="auto"/>
        <w:right w:val="none" w:sz="0" w:space="0" w:color="auto"/>
      </w:divBdr>
    </w:div>
    <w:div w:id="1991667049">
      <w:bodyDiv w:val="1"/>
      <w:marLeft w:val="0"/>
      <w:marRight w:val="0"/>
      <w:marTop w:val="0"/>
      <w:marBottom w:val="0"/>
      <w:divBdr>
        <w:top w:val="none" w:sz="0" w:space="0" w:color="auto"/>
        <w:left w:val="none" w:sz="0" w:space="0" w:color="auto"/>
        <w:bottom w:val="none" w:sz="0" w:space="0" w:color="auto"/>
        <w:right w:val="none" w:sz="0" w:space="0" w:color="auto"/>
      </w:divBdr>
    </w:div>
    <w:div w:id="2004891181">
      <w:bodyDiv w:val="1"/>
      <w:marLeft w:val="0"/>
      <w:marRight w:val="0"/>
      <w:marTop w:val="0"/>
      <w:marBottom w:val="0"/>
      <w:divBdr>
        <w:top w:val="none" w:sz="0" w:space="0" w:color="auto"/>
        <w:left w:val="none" w:sz="0" w:space="0" w:color="auto"/>
        <w:bottom w:val="none" w:sz="0" w:space="0" w:color="auto"/>
        <w:right w:val="none" w:sz="0" w:space="0" w:color="auto"/>
      </w:divBdr>
    </w:div>
    <w:div w:id="2052532998">
      <w:bodyDiv w:val="1"/>
      <w:marLeft w:val="0"/>
      <w:marRight w:val="0"/>
      <w:marTop w:val="0"/>
      <w:marBottom w:val="0"/>
      <w:divBdr>
        <w:top w:val="none" w:sz="0" w:space="0" w:color="auto"/>
        <w:left w:val="none" w:sz="0" w:space="0" w:color="auto"/>
        <w:bottom w:val="none" w:sz="0" w:space="0" w:color="auto"/>
        <w:right w:val="none" w:sz="0" w:space="0" w:color="auto"/>
      </w:divBdr>
    </w:div>
    <w:div w:id="2057004318">
      <w:bodyDiv w:val="1"/>
      <w:marLeft w:val="0"/>
      <w:marRight w:val="0"/>
      <w:marTop w:val="0"/>
      <w:marBottom w:val="0"/>
      <w:divBdr>
        <w:top w:val="none" w:sz="0" w:space="0" w:color="auto"/>
        <w:left w:val="none" w:sz="0" w:space="0" w:color="auto"/>
        <w:bottom w:val="none" w:sz="0" w:space="0" w:color="auto"/>
        <w:right w:val="none" w:sz="0" w:space="0" w:color="auto"/>
      </w:divBdr>
    </w:div>
    <w:div w:id="2066223254">
      <w:bodyDiv w:val="1"/>
      <w:marLeft w:val="0"/>
      <w:marRight w:val="0"/>
      <w:marTop w:val="0"/>
      <w:marBottom w:val="0"/>
      <w:divBdr>
        <w:top w:val="none" w:sz="0" w:space="0" w:color="auto"/>
        <w:left w:val="none" w:sz="0" w:space="0" w:color="auto"/>
        <w:bottom w:val="none" w:sz="0" w:space="0" w:color="auto"/>
        <w:right w:val="none" w:sz="0" w:space="0" w:color="auto"/>
      </w:divBdr>
    </w:div>
    <w:div w:id="2068143867">
      <w:bodyDiv w:val="1"/>
      <w:marLeft w:val="0"/>
      <w:marRight w:val="0"/>
      <w:marTop w:val="0"/>
      <w:marBottom w:val="0"/>
      <w:divBdr>
        <w:top w:val="none" w:sz="0" w:space="0" w:color="auto"/>
        <w:left w:val="none" w:sz="0" w:space="0" w:color="auto"/>
        <w:bottom w:val="none" w:sz="0" w:space="0" w:color="auto"/>
        <w:right w:val="none" w:sz="0" w:space="0" w:color="auto"/>
      </w:divBdr>
    </w:div>
    <w:div w:id="2068525073">
      <w:bodyDiv w:val="1"/>
      <w:marLeft w:val="0"/>
      <w:marRight w:val="0"/>
      <w:marTop w:val="0"/>
      <w:marBottom w:val="0"/>
      <w:divBdr>
        <w:top w:val="none" w:sz="0" w:space="0" w:color="auto"/>
        <w:left w:val="none" w:sz="0" w:space="0" w:color="auto"/>
        <w:bottom w:val="none" w:sz="0" w:space="0" w:color="auto"/>
        <w:right w:val="none" w:sz="0" w:space="0" w:color="auto"/>
      </w:divBdr>
    </w:div>
    <w:div w:id="2074423285">
      <w:bodyDiv w:val="1"/>
      <w:marLeft w:val="0"/>
      <w:marRight w:val="0"/>
      <w:marTop w:val="0"/>
      <w:marBottom w:val="0"/>
      <w:divBdr>
        <w:top w:val="none" w:sz="0" w:space="0" w:color="auto"/>
        <w:left w:val="none" w:sz="0" w:space="0" w:color="auto"/>
        <w:bottom w:val="none" w:sz="0" w:space="0" w:color="auto"/>
        <w:right w:val="none" w:sz="0" w:space="0" w:color="auto"/>
      </w:divBdr>
    </w:div>
    <w:div w:id="2078235995">
      <w:bodyDiv w:val="1"/>
      <w:marLeft w:val="0"/>
      <w:marRight w:val="0"/>
      <w:marTop w:val="0"/>
      <w:marBottom w:val="0"/>
      <w:divBdr>
        <w:top w:val="none" w:sz="0" w:space="0" w:color="auto"/>
        <w:left w:val="none" w:sz="0" w:space="0" w:color="auto"/>
        <w:bottom w:val="none" w:sz="0" w:space="0" w:color="auto"/>
        <w:right w:val="none" w:sz="0" w:space="0" w:color="auto"/>
      </w:divBdr>
    </w:div>
    <w:div w:id="208996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284F530DC9494EA2557F2A8F924F6C"/>
        <w:category>
          <w:name w:val="Ogólne"/>
          <w:gallery w:val="placeholder"/>
        </w:category>
        <w:types>
          <w:type w:val="bbPlcHdr"/>
        </w:types>
        <w:behaviors>
          <w:behavior w:val="content"/>
        </w:behaviors>
        <w:guid w:val="{5AC44C99-7B99-4FF1-827C-2C6DD871844C}"/>
      </w:docPartPr>
      <w:docPartBody>
        <w:p w:rsidR="00430E8D" w:rsidRDefault="00B565F7">
          <w:r w:rsidRPr="00315A24">
            <w:rPr>
              <w:rStyle w:val="Tekstzastpczy"/>
            </w:rPr>
            <w:t>[Tytuł]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F7"/>
    <w:rsid w:val="00123976"/>
    <w:rsid w:val="00136CF5"/>
    <w:rsid w:val="0027250F"/>
    <w:rsid w:val="003111A1"/>
    <w:rsid w:val="003C36C6"/>
    <w:rsid w:val="003C3C25"/>
    <w:rsid w:val="00420D51"/>
    <w:rsid w:val="00430E8D"/>
    <w:rsid w:val="00505DC6"/>
    <w:rsid w:val="005A6F85"/>
    <w:rsid w:val="00621D05"/>
    <w:rsid w:val="007026E8"/>
    <w:rsid w:val="00896015"/>
    <w:rsid w:val="009421DA"/>
    <w:rsid w:val="00973215"/>
    <w:rsid w:val="00B565F7"/>
    <w:rsid w:val="00B92FBA"/>
    <w:rsid w:val="00C30228"/>
    <w:rsid w:val="00D16136"/>
    <w:rsid w:val="00D57D4C"/>
    <w:rsid w:val="00EB6407"/>
    <w:rsid w:val="00F41BF5"/>
    <w:rsid w:val="00F83BCB"/>
    <w:rsid w:val="00F9053E"/>
    <w:rsid w:val="00FD33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65F7"/>
    <w:rPr>
      <w:rFonts w:cs="Times New Roman"/>
      <w:sz w:val="3276"/>
      <w:szCs w:val="327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565F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DCF94-1368-4E78-9303-E3D139F5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Pages>
  <Words>1998</Words>
  <Characters>11989</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Informacja o sytuacji na rynku pracy w województwie dolnośląskim w lutym 2026 roku.</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sytuacji na rynku pracy w województwie dolnośląskim w lutym 2026 roku.</dc:title>
  <dc:subject/>
  <dc:creator>Sabina Dębicka</dc:creator>
  <cp:keywords/>
  <dc:description/>
  <cp:lastModifiedBy>Sabina Dębicka</cp:lastModifiedBy>
  <cp:revision>34</cp:revision>
  <cp:lastPrinted>2026-04-09T08:41:00Z</cp:lastPrinted>
  <dcterms:created xsi:type="dcterms:W3CDTF">2026-03-13T10:49:00Z</dcterms:created>
  <dcterms:modified xsi:type="dcterms:W3CDTF">2026-04-09T08:41:00Z</dcterms:modified>
</cp:coreProperties>
</file>